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proofErr w:type="gramStart"/>
      <w:r w:rsidRPr="000450F7">
        <w:rPr>
          <w:rFonts w:ascii="Times New Roman" w:hAnsi="Times New Roman"/>
          <w:caps w:val="0"/>
          <w:smallCaps/>
          <w:sz w:val="28"/>
          <w:szCs w:val="28"/>
          <w:lang w:val="cs-CZ" w:eastAsia="ar-SA"/>
        </w:rPr>
        <w:t>s</w:t>
      </w:r>
      <w:proofErr w:type="spellStart"/>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proofErr w:type="spellEnd"/>
      <w:r w:rsidR="00743435" w:rsidRPr="000450F7">
        <w:rPr>
          <w:rFonts w:ascii="Times New Roman" w:hAnsi="Times New Roman"/>
          <w:caps w:val="0"/>
          <w:smallCaps/>
          <w:sz w:val="28"/>
          <w:szCs w:val="28"/>
          <w:lang w:eastAsia="ar-SA"/>
        </w:rPr>
        <w:t xml:space="preserve">  o dílo</w:t>
      </w:r>
      <w:proofErr w:type="gramEnd"/>
    </w:p>
    <w:p w:rsidR="00743435" w:rsidRPr="000450F7" w:rsidRDefault="00743435" w:rsidP="00743435">
      <w:pPr>
        <w:pStyle w:val="NormlnIMP"/>
        <w:ind w:left="851" w:right="-158" w:hanging="709"/>
        <w:jc w:val="both"/>
        <w:rPr>
          <w:b/>
          <w:i w:val="0"/>
          <w:sz w:val="22"/>
          <w:szCs w:val="22"/>
        </w:rPr>
      </w:pPr>
    </w:p>
    <w:p w:rsidR="00630EBF" w:rsidRPr="000450F7" w:rsidRDefault="00630EBF" w:rsidP="00094BAA">
      <w:pPr>
        <w:jc w:val="both"/>
        <w:rPr>
          <w:b/>
          <w:sz w:val="22"/>
          <w:szCs w:val="22"/>
        </w:rPr>
      </w:pPr>
    </w:p>
    <w:p w:rsidR="00CB35FD" w:rsidRPr="000450F7" w:rsidRDefault="00094BAA" w:rsidP="00094BAA">
      <w:pPr>
        <w:jc w:val="both"/>
        <w:rPr>
          <w:b/>
          <w:sz w:val="22"/>
          <w:szCs w:val="22"/>
        </w:rPr>
      </w:pPr>
      <w:r w:rsidRPr="000450F7">
        <w:rPr>
          <w:b/>
          <w:sz w:val="22"/>
          <w:szCs w:val="22"/>
        </w:rPr>
        <w:t xml:space="preserve">Horské lázně Karlova Studánka, státní podnik, </w:t>
      </w:r>
    </w:p>
    <w:p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rsidR="00D87371" w:rsidRPr="000450F7" w:rsidRDefault="00D87371" w:rsidP="00094BAA">
      <w:pPr>
        <w:jc w:val="both"/>
        <w:rPr>
          <w:sz w:val="22"/>
          <w:szCs w:val="22"/>
        </w:rPr>
      </w:pPr>
      <w:r w:rsidRPr="000450F7">
        <w:rPr>
          <w:sz w:val="22"/>
          <w:szCs w:val="22"/>
        </w:rPr>
        <w:t>DIČ: CZ14450216</w:t>
      </w:r>
    </w:p>
    <w:p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w:t>
      </w:r>
      <w:proofErr w:type="gramStart"/>
      <w:r w:rsidRPr="000450F7">
        <w:rPr>
          <w:sz w:val="22"/>
          <w:szCs w:val="22"/>
        </w:rPr>
        <w:t>zn.</w:t>
      </w:r>
      <w:proofErr w:type="gramEnd"/>
      <w:r w:rsidRPr="000450F7">
        <w:rPr>
          <w:sz w:val="22"/>
          <w:szCs w:val="22"/>
        </w:rPr>
        <w:t xml:space="preserve"> </w:t>
      </w:r>
      <w:r w:rsidR="005C321A" w:rsidRPr="000450F7">
        <w:t>AXIV 481</w:t>
      </w:r>
      <w:r w:rsidRPr="000450F7">
        <w:rPr>
          <w:sz w:val="22"/>
          <w:szCs w:val="22"/>
        </w:rPr>
        <w:t xml:space="preserve">, </w:t>
      </w:r>
    </w:p>
    <w:p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p>
    <w:p w:rsidR="00743435" w:rsidRPr="000450F7" w:rsidRDefault="00743435" w:rsidP="00743435">
      <w:pPr>
        <w:pStyle w:val="Normal1"/>
        <w:rPr>
          <w:color w:val="000000"/>
          <w:sz w:val="22"/>
          <w:szCs w:val="22"/>
        </w:rPr>
      </w:pPr>
    </w:p>
    <w:p w:rsidR="00743435" w:rsidRPr="000450F7" w:rsidRDefault="00743435" w:rsidP="00743435">
      <w:pPr>
        <w:pStyle w:val="Normal1"/>
        <w:rPr>
          <w:color w:val="000000"/>
          <w:sz w:val="22"/>
          <w:szCs w:val="22"/>
        </w:rPr>
      </w:pPr>
      <w:r w:rsidRPr="000450F7">
        <w:rPr>
          <w:color w:val="000000"/>
          <w:sz w:val="22"/>
          <w:szCs w:val="22"/>
        </w:rPr>
        <w:t xml:space="preserve">a </w:t>
      </w:r>
    </w:p>
    <w:p w:rsidR="00743435" w:rsidRPr="000450F7" w:rsidRDefault="00743435" w:rsidP="00743435">
      <w:pPr>
        <w:pStyle w:val="Normal1"/>
        <w:rPr>
          <w:color w:val="000000"/>
          <w:sz w:val="22"/>
          <w:szCs w:val="22"/>
        </w:rPr>
      </w:pPr>
    </w:p>
    <w:p w:rsidR="00630EBF" w:rsidRPr="000450F7" w:rsidRDefault="00630EBF" w:rsidP="00743435">
      <w:pPr>
        <w:pStyle w:val="Normal1"/>
        <w:rPr>
          <w:b/>
          <w:color w:val="000000"/>
          <w:sz w:val="22"/>
          <w:szCs w:val="22"/>
        </w:rPr>
      </w:pPr>
    </w:p>
    <w:p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rsidR="007D0671" w:rsidRPr="000450F7" w:rsidRDefault="007D0671" w:rsidP="007D0671">
      <w:pPr>
        <w:pStyle w:val="Zkladntext"/>
        <w:tabs>
          <w:tab w:val="left" w:pos="18"/>
          <w:tab w:val="left" w:pos="0"/>
        </w:tabs>
        <w:spacing w:after="480" w:line="240" w:lineRule="auto"/>
        <w:rPr>
          <w:sz w:val="22"/>
          <w:szCs w:val="22"/>
        </w:rPr>
      </w:pPr>
      <w:r w:rsidRPr="000450F7">
        <w:rPr>
          <w:sz w:val="22"/>
          <w:szCs w:val="22"/>
        </w:rPr>
        <w:t xml:space="preserve">(dále jen </w:t>
      </w:r>
      <w:r w:rsidRPr="000450F7">
        <w:rPr>
          <w:b/>
          <w:bCs/>
          <w:sz w:val="22"/>
          <w:szCs w:val="22"/>
        </w:rPr>
        <w:t>Zhotovitel</w:t>
      </w:r>
      <w:r w:rsidRPr="000450F7">
        <w:rPr>
          <w:sz w:val="22"/>
          <w:szCs w:val="22"/>
        </w:rPr>
        <w:t>)</w:t>
      </w:r>
    </w:p>
    <w:p w:rsidR="00743435" w:rsidRPr="000450F7" w:rsidRDefault="00743435" w:rsidP="00743435">
      <w:pPr>
        <w:jc w:val="both"/>
        <w:rPr>
          <w:color w:val="000000"/>
          <w:sz w:val="22"/>
          <w:szCs w:val="22"/>
        </w:rPr>
      </w:pPr>
    </w:p>
    <w:p w:rsidR="00743435" w:rsidRPr="000450F7" w:rsidRDefault="00743435" w:rsidP="00743435">
      <w:pPr>
        <w:rPr>
          <w:sz w:val="22"/>
          <w:szCs w:val="22"/>
        </w:rPr>
      </w:pPr>
      <w:r w:rsidRPr="000450F7">
        <w:rPr>
          <w:color w:val="000000"/>
          <w:sz w:val="22"/>
          <w:szCs w:val="22"/>
        </w:rPr>
        <w:t>SMLUVNÍ STRANY SE DOHODLY NA NÁSLEDUJÍCÍM</w:t>
      </w:r>
      <w:r w:rsidRPr="000450F7">
        <w:rPr>
          <w:sz w:val="22"/>
          <w:szCs w:val="22"/>
        </w:rPr>
        <w:t>:</w:t>
      </w:r>
    </w:p>
    <w:p w:rsidR="00743435" w:rsidRPr="000450F7" w:rsidRDefault="00743435" w:rsidP="00743435">
      <w:pPr>
        <w:jc w:val="center"/>
        <w:rPr>
          <w:b/>
          <w:sz w:val="22"/>
          <w:szCs w:val="22"/>
        </w:rPr>
      </w:pPr>
    </w:p>
    <w:p w:rsidR="00630EBF" w:rsidRPr="000450F7" w:rsidRDefault="00630EBF" w:rsidP="00743435">
      <w:pPr>
        <w:jc w:val="center"/>
        <w:rPr>
          <w:b/>
          <w:sz w:val="22"/>
          <w:szCs w:val="22"/>
        </w:rPr>
      </w:pPr>
    </w:p>
    <w:p w:rsidR="00743435" w:rsidRPr="000450F7" w:rsidRDefault="00743435" w:rsidP="00743435">
      <w:pPr>
        <w:jc w:val="center"/>
        <w:rPr>
          <w:b/>
          <w:sz w:val="22"/>
          <w:szCs w:val="22"/>
        </w:rPr>
      </w:pPr>
      <w:r w:rsidRPr="000450F7">
        <w:rPr>
          <w:b/>
          <w:sz w:val="22"/>
          <w:szCs w:val="22"/>
        </w:rPr>
        <w:t>I.</w:t>
      </w:r>
    </w:p>
    <w:p w:rsidR="00743435" w:rsidRPr="000450F7" w:rsidRDefault="00743435" w:rsidP="00743435">
      <w:pPr>
        <w:jc w:val="center"/>
        <w:rPr>
          <w:b/>
          <w:sz w:val="22"/>
          <w:szCs w:val="22"/>
        </w:rPr>
      </w:pPr>
      <w:r w:rsidRPr="000450F7">
        <w:rPr>
          <w:b/>
          <w:sz w:val="22"/>
          <w:szCs w:val="22"/>
        </w:rPr>
        <w:t>Předmět díla</w:t>
      </w:r>
    </w:p>
    <w:p w:rsidR="001A4989" w:rsidRPr="000450F7" w:rsidRDefault="001A4989" w:rsidP="00743435">
      <w:pPr>
        <w:jc w:val="center"/>
        <w:rPr>
          <w:b/>
          <w:sz w:val="22"/>
          <w:szCs w:val="22"/>
        </w:rPr>
      </w:pPr>
    </w:p>
    <w:p w:rsidR="007D0671" w:rsidRPr="000450F7" w:rsidRDefault="00743435" w:rsidP="00DE1EC6">
      <w:pPr>
        <w:numPr>
          <w:ilvl w:val="0"/>
          <w:numId w:val="16"/>
        </w:numPr>
        <w:suppressAutoHyphens/>
        <w:overflowPunct/>
        <w:autoSpaceDE/>
        <w:autoSpaceDN/>
        <w:adjustRightInd/>
        <w:ind w:left="284" w:hanging="284"/>
        <w:jc w:val="both"/>
        <w:textAlignment w:val="auto"/>
        <w:rPr>
          <w:b/>
          <w:sz w:val="22"/>
          <w:szCs w:val="22"/>
        </w:rPr>
      </w:pPr>
      <w:r w:rsidRPr="000450F7">
        <w:rPr>
          <w:sz w:val="22"/>
          <w:szCs w:val="22"/>
        </w:rPr>
        <w:t>Předmětem díla v</w:t>
      </w:r>
      <w:r w:rsidR="00B664FD" w:rsidRPr="000450F7">
        <w:rPr>
          <w:sz w:val="22"/>
          <w:szCs w:val="22"/>
        </w:rPr>
        <w:t>e smyslu této smlouvy se rozumí: Stavební práce za účelem</w:t>
      </w:r>
      <w:r w:rsidR="007D0671" w:rsidRPr="000450F7">
        <w:rPr>
          <w:sz w:val="22"/>
          <w:szCs w:val="22"/>
        </w:rPr>
        <w:t>:</w:t>
      </w:r>
    </w:p>
    <w:p w:rsidR="00743435" w:rsidRDefault="00E47ACF"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Oprava omítek ve skladu potravin</w:t>
      </w:r>
      <w:r>
        <w:rPr>
          <w:sz w:val="22"/>
          <w:szCs w:val="22"/>
        </w:rPr>
        <w:t xml:space="preserve"> </w:t>
      </w:r>
      <w:r w:rsidR="00946FCA" w:rsidRPr="00E47ACF">
        <w:rPr>
          <w:sz w:val="22"/>
          <w:szCs w:val="22"/>
        </w:rPr>
        <w:t xml:space="preserve">dle </w:t>
      </w:r>
      <w:r w:rsidRPr="00E47ACF">
        <w:rPr>
          <w:sz w:val="22"/>
          <w:szCs w:val="22"/>
        </w:rPr>
        <w:t xml:space="preserve">Soupisu prací - </w:t>
      </w:r>
      <w:r w:rsidR="00946FCA" w:rsidRPr="00E47ACF">
        <w:rPr>
          <w:sz w:val="22"/>
          <w:szCs w:val="22"/>
        </w:rPr>
        <w:t>položkov</w:t>
      </w:r>
      <w:r>
        <w:rPr>
          <w:sz w:val="22"/>
          <w:szCs w:val="22"/>
        </w:rPr>
        <w:t>ého</w:t>
      </w:r>
      <w:r w:rsidR="00946FCA" w:rsidRPr="00E47ACF">
        <w:rPr>
          <w:sz w:val="22"/>
          <w:szCs w:val="22"/>
        </w:rPr>
        <w:t xml:space="preserve"> rozpočt</w:t>
      </w:r>
      <w:r>
        <w:rPr>
          <w:sz w:val="22"/>
          <w:szCs w:val="22"/>
        </w:rPr>
        <w:t>u</w:t>
      </w:r>
      <w:r w:rsidR="00946FCA" w:rsidRPr="00E47ACF">
        <w:rPr>
          <w:sz w:val="22"/>
          <w:szCs w:val="22"/>
        </w:rPr>
        <w:t xml:space="preserve"> </w:t>
      </w:r>
      <w:r w:rsidR="00265480">
        <w:rPr>
          <w:sz w:val="22"/>
          <w:szCs w:val="22"/>
        </w:rPr>
        <w:t>a pokynů</w:t>
      </w:r>
      <w:r w:rsidR="00946FCA" w:rsidRPr="00E47ACF">
        <w:rPr>
          <w:sz w:val="22"/>
          <w:szCs w:val="22"/>
        </w:rPr>
        <w:t xml:space="preserve"> objednatele.</w:t>
      </w:r>
    </w:p>
    <w:p w:rsidR="00265480" w:rsidRDefault="00265480"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Uložiště odpadu z kuchyně</w:t>
      </w:r>
      <w:r>
        <w:rPr>
          <w:sz w:val="22"/>
          <w:szCs w:val="22"/>
        </w:rPr>
        <w:t xml:space="preserve"> dle Soupisu prací – položkového rozpočtu a pokynů objednatele</w:t>
      </w:r>
    </w:p>
    <w:p w:rsidR="00265480" w:rsidRPr="00E47ACF" w:rsidRDefault="00265480"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Oprava VC muži u jídelen</w:t>
      </w:r>
      <w:r>
        <w:rPr>
          <w:sz w:val="22"/>
          <w:szCs w:val="22"/>
        </w:rPr>
        <w:t xml:space="preserve"> dle Soupisu prací – položkového rozpočtu a pokynů objednatele</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datum.</w:t>
          </w:r>
        </w:sdtContent>
      </w:sdt>
      <w:r w:rsidRPr="000450F7">
        <w:rPr>
          <w:sz w:val="22"/>
          <w:szCs w:val="22"/>
        </w:rPr>
        <w:t>která</w:t>
      </w:r>
      <w:proofErr w:type="gramEnd"/>
      <w:r w:rsidRPr="000450F7">
        <w:rPr>
          <w:sz w:val="22"/>
          <w:szCs w:val="22"/>
        </w:rPr>
        <w:t xml:space="preserve">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specifikace použitého materiálu je tak kompletní. Zhotovitel nemá právo požadovat úhradu jakýchkoliv vícenákladů vzniklých v důsledku nesprávnosti jeho prohlášení uvedených v této smlouvě.</w:t>
      </w:r>
    </w:p>
    <w:p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rsidR="002E3B8C" w:rsidRPr="000450F7" w:rsidRDefault="002E3B8C" w:rsidP="002E3B8C">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lastRenderedPageBreak/>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rsidR="007D0671" w:rsidRPr="000450F7" w:rsidRDefault="007D0671" w:rsidP="007D0671">
      <w:pPr>
        <w:suppressAutoHyphens/>
        <w:overflowPunct/>
        <w:autoSpaceDE/>
        <w:autoSpaceDN/>
        <w:adjustRightInd/>
        <w:jc w:val="both"/>
        <w:textAlignment w:val="auto"/>
        <w:rPr>
          <w:sz w:val="22"/>
          <w:szCs w:val="22"/>
        </w:rPr>
      </w:pPr>
    </w:p>
    <w:p w:rsidR="00743435" w:rsidRPr="000450F7" w:rsidRDefault="00743435" w:rsidP="00743435">
      <w:pPr>
        <w:ind w:left="284"/>
        <w:jc w:val="both"/>
        <w:rPr>
          <w:sz w:val="22"/>
          <w:szCs w:val="22"/>
          <w:highlight w:val="yellow"/>
        </w:rPr>
      </w:pPr>
    </w:p>
    <w:p w:rsidR="00743435" w:rsidRPr="000450F7" w:rsidRDefault="00743435" w:rsidP="00743435">
      <w:pPr>
        <w:jc w:val="center"/>
        <w:rPr>
          <w:b/>
          <w:sz w:val="22"/>
          <w:szCs w:val="22"/>
        </w:rPr>
      </w:pPr>
      <w:r w:rsidRPr="000450F7">
        <w:rPr>
          <w:b/>
          <w:sz w:val="22"/>
          <w:szCs w:val="22"/>
        </w:rPr>
        <w:t>II.</w:t>
      </w:r>
    </w:p>
    <w:p w:rsidR="00743435" w:rsidRPr="000450F7" w:rsidRDefault="00743435" w:rsidP="00743435">
      <w:pPr>
        <w:jc w:val="center"/>
        <w:rPr>
          <w:b/>
          <w:sz w:val="22"/>
          <w:szCs w:val="22"/>
        </w:rPr>
      </w:pPr>
      <w:r w:rsidRPr="000450F7">
        <w:rPr>
          <w:b/>
          <w:sz w:val="22"/>
          <w:szCs w:val="22"/>
        </w:rPr>
        <w:t>Cena díla</w:t>
      </w:r>
    </w:p>
    <w:p w:rsidR="001A4989" w:rsidRPr="000450F7" w:rsidRDefault="001A4989" w:rsidP="00743435">
      <w:pPr>
        <w:jc w:val="center"/>
        <w:rPr>
          <w:b/>
          <w:sz w:val="22"/>
          <w:szCs w:val="22"/>
        </w:rPr>
      </w:pPr>
    </w:p>
    <w:p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text.</w:t>
          </w:r>
        </w:sdtContent>
      </w:sdt>
      <w:r w:rsidRPr="000450F7">
        <w:rPr>
          <w:sz w:val="22"/>
          <w:szCs w:val="22"/>
        </w:rPr>
        <w:t>Kč</w:t>
      </w:r>
      <w:proofErr w:type="gramEnd"/>
      <w:r w:rsidRPr="000450F7">
        <w:rPr>
          <w:sz w:val="22"/>
          <w:szCs w:val="22"/>
        </w:rPr>
        <w:t xml:space="preserve"> bez DPH, </w:t>
      </w:r>
    </w:p>
    <w:p w:rsidR="005E2E75" w:rsidRPr="000450F7" w:rsidRDefault="00990981" w:rsidP="005E2E75">
      <w:pPr>
        <w:suppressAutoHyphens/>
        <w:overflowPunct/>
        <w:autoSpaceDE/>
        <w:autoSpaceDN/>
        <w:adjustRightInd/>
        <w:ind w:left="4248"/>
        <w:jc w:val="both"/>
        <w:textAlignment w:val="auto"/>
        <w:rPr>
          <w:sz w:val="22"/>
          <w:szCs w:val="22"/>
        </w:rPr>
      </w:pPr>
      <w:sdt>
        <w:sdtPr>
          <w:rPr>
            <w:sz w:val="22"/>
            <w:szCs w:val="22"/>
            <w:highlight w:val="cyan"/>
          </w:rPr>
          <w:id w:val="391547027"/>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5E2E75" w:rsidRPr="000450F7">
        <w:rPr>
          <w:sz w:val="22"/>
          <w:szCs w:val="22"/>
        </w:rPr>
        <w:t xml:space="preserve"> Kč DPH,</w:t>
      </w:r>
    </w:p>
    <w:p w:rsidR="00743435" w:rsidRPr="000450F7" w:rsidRDefault="00990981" w:rsidP="005E2E75">
      <w:pPr>
        <w:suppressAutoHyphens/>
        <w:overflowPunct/>
        <w:autoSpaceDE/>
        <w:autoSpaceDN/>
        <w:adjustRightInd/>
        <w:ind w:left="3540" w:firstLine="708"/>
        <w:jc w:val="both"/>
        <w:textAlignment w:val="auto"/>
        <w:rPr>
          <w:sz w:val="22"/>
          <w:szCs w:val="22"/>
        </w:rPr>
      </w:pPr>
      <w:sdt>
        <w:sdtPr>
          <w:rPr>
            <w:sz w:val="22"/>
            <w:szCs w:val="22"/>
          </w:rPr>
          <w:id w:val="-106202176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43435" w:rsidRPr="000450F7">
        <w:rPr>
          <w:sz w:val="22"/>
          <w:szCs w:val="22"/>
        </w:rPr>
        <w:t xml:space="preserve"> Kč vč. DPH.</w:t>
      </w:r>
    </w:p>
    <w:p w:rsidR="00630EBF" w:rsidRPr="000450F7" w:rsidRDefault="00630EBF" w:rsidP="005E2E75">
      <w:pPr>
        <w:suppressAutoHyphens/>
        <w:overflowPunct/>
        <w:autoSpaceDE/>
        <w:autoSpaceDN/>
        <w:adjustRightInd/>
        <w:ind w:left="3540" w:firstLine="708"/>
        <w:jc w:val="both"/>
        <w:textAlignment w:val="auto"/>
        <w:rPr>
          <w:sz w:val="22"/>
          <w:szCs w:val="22"/>
        </w:rPr>
      </w:pPr>
    </w:p>
    <w:p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rsidR="00B24F67" w:rsidRPr="000450F7" w:rsidRDefault="00B24F67" w:rsidP="00B24F67">
      <w:pPr>
        <w:numPr>
          <w:ilvl w:val="0"/>
          <w:numId w:val="18"/>
        </w:numPr>
        <w:suppressAutoHyphens/>
        <w:overflowPunct/>
        <w:autoSpaceDE/>
        <w:autoSpaceDN/>
        <w:adjustRightInd/>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Veškeré platby ve prospěch zhotovitele </w:t>
      </w:r>
      <w:proofErr w:type="gramStart"/>
      <w:r w:rsidRPr="000450F7">
        <w:rPr>
          <w:sz w:val="22"/>
          <w:szCs w:val="22"/>
        </w:rPr>
        <w:t>budou</w:t>
      </w:r>
      <w:proofErr w:type="gramEnd"/>
      <w:r w:rsidRPr="000450F7">
        <w:rPr>
          <w:sz w:val="22"/>
          <w:szCs w:val="22"/>
        </w:rPr>
        <w:t xml:space="preserve"> prováděny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proofErr w:type="gramStart"/>
          <w:r w:rsidR="008B1003" w:rsidRPr="000450F7">
            <w:rPr>
              <w:rStyle w:val="Zstupntext"/>
              <w:rFonts w:eastAsia="Calibri"/>
              <w:highlight w:val="cyan"/>
            </w:rPr>
            <w:t>Klikněte</w:t>
          </w:r>
          <w:proofErr w:type="gramEnd"/>
          <w:r w:rsidR="008B1003" w:rsidRPr="000450F7">
            <w:rPr>
              <w:rStyle w:val="Zstupntext"/>
              <w:rFonts w:eastAsia="Calibri"/>
              <w:highlight w:val="cyan"/>
            </w:rPr>
            <w:t xml:space="preserv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proofErr w:type="spellStart"/>
      <w:r w:rsidRPr="000450F7">
        <w:rPr>
          <w:sz w:val="22"/>
          <w:szCs w:val="22"/>
        </w:rPr>
        <w:t>ú.</w:t>
      </w:r>
      <w:proofErr w:type="spellEnd"/>
      <w:r w:rsidRPr="000450F7">
        <w:rPr>
          <w:sz w:val="22"/>
          <w:szCs w:val="22"/>
        </w:rPr>
        <w:t xml:space="preserve">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rsidR="00743435" w:rsidRPr="000450F7" w:rsidRDefault="00743435" w:rsidP="00743435">
      <w:pPr>
        <w:ind w:left="720" w:right="-158"/>
        <w:rPr>
          <w:sz w:val="22"/>
          <w:szCs w:val="22"/>
        </w:rPr>
      </w:pPr>
    </w:p>
    <w:p w:rsidR="00630EBF" w:rsidRPr="000450F7" w:rsidRDefault="00630EBF" w:rsidP="00743435">
      <w:pPr>
        <w:ind w:left="720" w:right="-158"/>
        <w:rPr>
          <w:sz w:val="22"/>
          <w:szCs w:val="22"/>
        </w:rPr>
      </w:pPr>
    </w:p>
    <w:p w:rsidR="00B24F67" w:rsidRPr="000450F7" w:rsidRDefault="00B24F67" w:rsidP="00B24F67">
      <w:pPr>
        <w:jc w:val="center"/>
        <w:rPr>
          <w:b/>
          <w:sz w:val="22"/>
          <w:szCs w:val="22"/>
        </w:rPr>
      </w:pPr>
      <w:r w:rsidRPr="000450F7">
        <w:rPr>
          <w:b/>
          <w:sz w:val="22"/>
          <w:szCs w:val="22"/>
        </w:rPr>
        <w:t>III.</w:t>
      </w:r>
    </w:p>
    <w:p w:rsidR="00B24F67" w:rsidRPr="000450F7" w:rsidRDefault="00B24F67" w:rsidP="00B24F67">
      <w:pPr>
        <w:jc w:val="center"/>
        <w:rPr>
          <w:b/>
          <w:sz w:val="22"/>
          <w:szCs w:val="22"/>
        </w:rPr>
      </w:pPr>
      <w:r w:rsidRPr="000450F7">
        <w:rPr>
          <w:b/>
          <w:sz w:val="22"/>
          <w:szCs w:val="22"/>
        </w:rPr>
        <w:t>Termíny plnění díla</w:t>
      </w:r>
    </w:p>
    <w:p w:rsidR="001A4989" w:rsidRPr="000450F7" w:rsidRDefault="001A4989" w:rsidP="00B24F67">
      <w:pPr>
        <w:jc w:val="center"/>
        <w:rPr>
          <w:b/>
          <w:sz w:val="22"/>
          <w:szCs w:val="22"/>
        </w:rPr>
      </w:pPr>
      <w:bookmarkStart w:id="0" w:name="_GoBack"/>
      <w:bookmarkEnd w:id="0"/>
    </w:p>
    <w:p w:rsidR="007D0671" w:rsidRPr="000450F7" w:rsidRDefault="007D0671"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Dílo bude </w:t>
      </w:r>
      <w:r w:rsidR="00B24F67" w:rsidRPr="000450F7">
        <w:rPr>
          <w:sz w:val="22"/>
          <w:szCs w:val="22"/>
        </w:rPr>
        <w:t>a</w:t>
      </w:r>
      <w:r w:rsidRPr="000450F7">
        <w:rPr>
          <w:sz w:val="22"/>
          <w:szCs w:val="22"/>
        </w:rPr>
        <w:t xml:space="preserve"> předáno objednateli nejpozději:</w:t>
      </w:r>
      <w:r w:rsidR="008B1003" w:rsidRPr="000450F7">
        <w:rPr>
          <w:sz w:val="22"/>
          <w:szCs w:val="22"/>
        </w:rPr>
        <w:t xml:space="preserve"> </w:t>
      </w:r>
      <w:sdt>
        <w:sdtPr>
          <w:rPr>
            <w:b/>
            <w:sz w:val="22"/>
            <w:szCs w:val="22"/>
          </w:rPr>
          <w:id w:val="-1290730814"/>
          <w:placeholder>
            <w:docPart w:val="DefaultPlaceholder_1081868576"/>
          </w:placeholder>
          <w:date w:fullDate="2017-12-22T00:00:00Z">
            <w:dateFormat w:val="dd.MM.yyyy"/>
            <w:lid w:val="cs-CZ"/>
            <w:storeMappedDataAs w:val="dateTime"/>
            <w:calendar w:val="gregorian"/>
          </w:date>
        </w:sdtPr>
        <w:sdtEndPr/>
        <w:sdtContent>
          <w:proofErr w:type="gramStart"/>
          <w:r w:rsidR="00520BF4">
            <w:rPr>
              <w:b/>
              <w:sz w:val="22"/>
              <w:szCs w:val="22"/>
            </w:rPr>
            <w:t>22.12.2017</w:t>
          </w:r>
          <w:proofErr w:type="gramEnd"/>
        </w:sdtContent>
      </w:sdt>
    </w:p>
    <w:p w:rsidR="00B24F67" w:rsidRPr="000450F7" w:rsidRDefault="00B24F67" w:rsidP="007D0671">
      <w:pPr>
        <w:suppressAutoHyphens/>
        <w:overflowPunct/>
        <w:autoSpaceDE/>
        <w:autoSpaceDN/>
        <w:adjustRightInd/>
        <w:ind w:left="284"/>
        <w:jc w:val="both"/>
        <w:textAlignment w:val="auto"/>
        <w:rPr>
          <w:sz w:val="22"/>
          <w:szCs w:val="22"/>
        </w:rPr>
      </w:pP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304010" w:rsidRPr="000450F7">
        <w:rPr>
          <w:sz w:val="22"/>
          <w:szCs w:val="22"/>
        </w:rPr>
        <w:t>5</w:t>
      </w:r>
      <w:r w:rsidRPr="000450F7">
        <w:rPr>
          <w:sz w:val="22"/>
          <w:szCs w:val="22"/>
        </w:rPr>
        <w:t xml:space="preserve"> pracovní</w:t>
      </w:r>
      <w:r w:rsidR="00816A86" w:rsidRPr="000450F7">
        <w:rPr>
          <w:sz w:val="22"/>
          <w:szCs w:val="22"/>
        </w:rPr>
        <w:t>ch</w:t>
      </w:r>
      <w:r w:rsidRPr="000450F7">
        <w:rPr>
          <w:sz w:val="22"/>
          <w:szCs w:val="22"/>
        </w:rPr>
        <w:t xml:space="preserve"> dn</w:t>
      </w:r>
      <w:r w:rsidR="00816A86" w:rsidRPr="000450F7">
        <w:rPr>
          <w:sz w:val="22"/>
          <w:szCs w:val="22"/>
        </w:rPr>
        <w:t>ů</w:t>
      </w:r>
      <w:r w:rsidRPr="000450F7">
        <w:rPr>
          <w:sz w:val="22"/>
          <w:szCs w:val="22"/>
        </w:rPr>
        <w:t xml:space="preserve"> předem.</w:t>
      </w:r>
    </w:p>
    <w:p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rsidR="001A4989" w:rsidRPr="000450F7" w:rsidRDefault="001A4989" w:rsidP="00B24F67">
      <w:pPr>
        <w:jc w:val="center"/>
        <w:rPr>
          <w:b/>
          <w:sz w:val="22"/>
          <w:szCs w:val="22"/>
        </w:rPr>
      </w:pPr>
    </w:p>
    <w:p w:rsidR="00630EBF" w:rsidRPr="000450F7" w:rsidRDefault="00630EBF" w:rsidP="00B24F67">
      <w:pPr>
        <w:jc w:val="center"/>
        <w:rPr>
          <w:b/>
          <w:sz w:val="22"/>
          <w:szCs w:val="22"/>
        </w:rPr>
      </w:pPr>
    </w:p>
    <w:p w:rsidR="00B24F67" w:rsidRPr="000450F7" w:rsidRDefault="00B24F67" w:rsidP="00B24F67">
      <w:pPr>
        <w:jc w:val="center"/>
        <w:rPr>
          <w:b/>
          <w:sz w:val="22"/>
          <w:szCs w:val="22"/>
        </w:rPr>
      </w:pPr>
      <w:r w:rsidRPr="000450F7">
        <w:rPr>
          <w:b/>
          <w:sz w:val="22"/>
          <w:szCs w:val="22"/>
        </w:rPr>
        <w:t>I</w:t>
      </w:r>
      <w:r w:rsidR="007F3A06" w:rsidRPr="000450F7">
        <w:rPr>
          <w:b/>
          <w:sz w:val="22"/>
          <w:szCs w:val="22"/>
        </w:rPr>
        <w:t>V</w:t>
      </w:r>
      <w:r w:rsidRPr="000450F7">
        <w:rPr>
          <w:b/>
          <w:sz w:val="22"/>
          <w:szCs w:val="22"/>
        </w:rPr>
        <w:t>.</w:t>
      </w:r>
    </w:p>
    <w:p w:rsidR="00B24F67" w:rsidRPr="000450F7" w:rsidRDefault="007F3A06" w:rsidP="00B24F67">
      <w:pPr>
        <w:jc w:val="center"/>
        <w:rPr>
          <w:b/>
          <w:sz w:val="22"/>
          <w:szCs w:val="22"/>
        </w:rPr>
      </w:pPr>
      <w:r w:rsidRPr="000450F7">
        <w:rPr>
          <w:b/>
          <w:sz w:val="22"/>
          <w:szCs w:val="22"/>
        </w:rPr>
        <w:t>Povinnosti zhotovitele</w:t>
      </w:r>
    </w:p>
    <w:p w:rsidR="001A4989" w:rsidRPr="000450F7" w:rsidRDefault="001A4989" w:rsidP="00B24F67">
      <w:pPr>
        <w:jc w:val="center"/>
        <w:rPr>
          <w:b/>
          <w:sz w:val="22"/>
          <w:szCs w:val="22"/>
        </w:rPr>
      </w:pP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w:t>
      </w:r>
      <w:proofErr w:type="gramStart"/>
      <w:r w:rsidRPr="000450F7">
        <w:rPr>
          <w:sz w:val="22"/>
          <w:szCs w:val="22"/>
        </w:rPr>
        <w:t xml:space="preserve">práce </w:t>
      </w:r>
      <w:r w:rsidR="00946FCA" w:rsidRPr="000450F7">
        <w:rPr>
          <w:sz w:val="22"/>
          <w:szCs w:val="22"/>
        </w:rPr>
        <w:t xml:space="preserve">            </w:t>
      </w:r>
      <w:r w:rsidRPr="000450F7">
        <w:rPr>
          <w:sz w:val="22"/>
          <w:szCs w:val="22"/>
        </w:rPr>
        <w:t>a dodaný</w:t>
      </w:r>
      <w:proofErr w:type="gramEnd"/>
      <w:r w:rsidRPr="000450F7">
        <w:rPr>
          <w:sz w:val="22"/>
          <w:szCs w:val="22"/>
        </w:rPr>
        <w:t xml:space="preserve"> materiál poskytuje zhotovitel záruku </w:t>
      </w:r>
      <w:r w:rsidR="001A4989" w:rsidRPr="000450F7">
        <w:rPr>
          <w:sz w:val="22"/>
          <w:szCs w:val="22"/>
        </w:rPr>
        <w:t>60</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w:t>
      </w:r>
      <w:proofErr w:type="gramStart"/>
      <w:r w:rsidR="002B6595" w:rsidRPr="000450F7">
        <w:rPr>
          <w:sz w:val="22"/>
          <w:szCs w:val="22"/>
        </w:rPr>
        <w:t xml:space="preserve">nový </w:t>
      </w:r>
      <w:r w:rsidR="00946FCA" w:rsidRPr="000450F7">
        <w:rPr>
          <w:sz w:val="22"/>
          <w:szCs w:val="22"/>
        </w:rPr>
        <w:t xml:space="preserve">              </w:t>
      </w:r>
      <w:r w:rsidR="002B6595" w:rsidRPr="000450F7">
        <w:rPr>
          <w:sz w:val="22"/>
          <w:szCs w:val="22"/>
        </w:rPr>
        <w:t>a nepoškozený</w:t>
      </w:r>
      <w:proofErr w:type="gramEnd"/>
      <w:r w:rsidR="002B6595" w:rsidRPr="000450F7">
        <w:rPr>
          <w:sz w:val="22"/>
          <w:szCs w:val="22"/>
        </w:rPr>
        <w:t xml:space="preserve"> materiál 1. kvality.</w:t>
      </w:r>
    </w:p>
    <w:p w:rsidR="00571496" w:rsidRPr="000450F7"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stavbu, pokud by zjistil závažné </w:t>
      </w:r>
      <w:r w:rsidR="007F3A06" w:rsidRPr="000450F7">
        <w:rPr>
          <w:sz w:val="22"/>
          <w:szCs w:val="22"/>
        </w:rPr>
        <w:t>nedostatky při provádění díla</w:t>
      </w:r>
      <w:r w:rsidRPr="000450F7">
        <w:rPr>
          <w:sz w:val="22"/>
          <w:szCs w:val="22"/>
        </w:rPr>
        <w:t>.</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rsidR="00401A21" w:rsidRPr="000450F7" w:rsidRDefault="00401A21" w:rsidP="00304010">
      <w:pPr>
        <w:suppressAutoHyphens/>
        <w:overflowPunct/>
        <w:autoSpaceDE/>
        <w:autoSpaceDN/>
        <w:adjustRightInd/>
        <w:ind w:left="284"/>
        <w:jc w:val="both"/>
        <w:textAlignment w:val="auto"/>
        <w:rPr>
          <w:b/>
          <w:sz w:val="22"/>
          <w:szCs w:val="22"/>
        </w:rPr>
      </w:pPr>
    </w:p>
    <w:p w:rsidR="00630EBF" w:rsidRPr="000450F7" w:rsidRDefault="00630EBF" w:rsidP="00304010">
      <w:pPr>
        <w:suppressAutoHyphens/>
        <w:overflowPunct/>
        <w:autoSpaceDE/>
        <w:autoSpaceDN/>
        <w:adjustRightInd/>
        <w:ind w:left="284"/>
        <w:jc w:val="both"/>
        <w:textAlignment w:val="auto"/>
        <w:rPr>
          <w:b/>
          <w:sz w:val="22"/>
          <w:szCs w:val="22"/>
        </w:rPr>
      </w:pPr>
    </w:p>
    <w:p w:rsidR="00401A21" w:rsidRPr="000450F7" w:rsidRDefault="00401A21" w:rsidP="00401A21">
      <w:pPr>
        <w:jc w:val="center"/>
        <w:rPr>
          <w:b/>
          <w:sz w:val="22"/>
          <w:szCs w:val="22"/>
        </w:rPr>
      </w:pPr>
      <w:r w:rsidRPr="000450F7">
        <w:rPr>
          <w:b/>
          <w:sz w:val="22"/>
          <w:szCs w:val="22"/>
        </w:rPr>
        <w:t>V.</w:t>
      </w:r>
    </w:p>
    <w:p w:rsidR="00401A21" w:rsidRPr="000450F7" w:rsidRDefault="00401A21" w:rsidP="00401A21">
      <w:pPr>
        <w:jc w:val="center"/>
        <w:rPr>
          <w:b/>
          <w:sz w:val="22"/>
          <w:szCs w:val="22"/>
        </w:rPr>
      </w:pPr>
      <w:r w:rsidRPr="000450F7">
        <w:rPr>
          <w:b/>
          <w:sz w:val="22"/>
          <w:szCs w:val="22"/>
        </w:rPr>
        <w:t>Smluvní pokuty</w:t>
      </w:r>
    </w:p>
    <w:p w:rsidR="001A4989" w:rsidRPr="000450F7" w:rsidRDefault="001A4989" w:rsidP="00401A21">
      <w:pPr>
        <w:jc w:val="center"/>
        <w:rPr>
          <w:b/>
          <w:sz w:val="22"/>
          <w:szCs w:val="22"/>
        </w:rPr>
      </w:pP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w:t>
      </w:r>
      <w:r w:rsidR="00401A21" w:rsidRPr="000450F7">
        <w:rPr>
          <w:sz w:val="22"/>
          <w:szCs w:val="22"/>
        </w:rPr>
        <w:t>prodlení zhotovitele s dokončením díla</w:t>
      </w:r>
      <w:r w:rsidRPr="000450F7">
        <w:rPr>
          <w:sz w:val="22"/>
          <w:szCs w:val="22"/>
        </w:rPr>
        <w:t xml:space="preserve"> sjednávají </w:t>
      </w:r>
      <w:r w:rsidR="00401A21" w:rsidRPr="000450F7">
        <w:rPr>
          <w:sz w:val="22"/>
          <w:szCs w:val="22"/>
        </w:rPr>
        <w:t xml:space="preserve">smluvní strany </w:t>
      </w:r>
      <w:r w:rsidRPr="000450F7">
        <w:rPr>
          <w:sz w:val="22"/>
          <w:szCs w:val="22"/>
        </w:rPr>
        <w:t xml:space="preserve">smluvní pokutu ve výši </w:t>
      </w:r>
      <w:r w:rsidR="001A4989" w:rsidRPr="000450F7">
        <w:rPr>
          <w:sz w:val="22"/>
          <w:szCs w:val="22"/>
        </w:rPr>
        <w:t>1000</w:t>
      </w:r>
      <w:r w:rsidRPr="000450F7">
        <w:rPr>
          <w:sz w:val="22"/>
          <w:szCs w:val="22"/>
        </w:rPr>
        <w:t xml:space="preserve">,- Kč za každý </w:t>
      </w:r>
      <w:r w:rsidR="00F80524" w:rsidRPr="000450F7">
        <w:rPr>
          <w:sz w:val="22"/>
          <w:szCs w:val="22"/>
        </w:rPr>
        <w:t xml:space="preserve">i započatý </w:t>
      </w:r>
      <w:r w:rsidRPr="000450F7">
        <w:rPr>
          <w:sz w:val="22"/>
          <w:szCs w:val="22"/>
        </w:rPr>
        <w:t xml:space="preserve">den </w:t>
      </w:r>
      <w:r w:rsidR="00401A21" w:rsidRPr="000450F7">
        <w:rPr>
          <w:sz w:val="22"/>
          <w:szCs w:val="22"/>
        </w:rPr>
        <w:t>prodlení</w:t>
      </w:r>
      <w:r w:rsidRPr="000450F7">
        <w:rPr>
          <w:sz w:val="22"/>
          <w:szCs w:val="22"/>
        </w:rPr>
        <w:t xml:space="preserve">. </w:t>
      </w: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pozdního splnění závazku zhotovitele </w:t>
      </w:r>
      <w:r w:rsidR="00401A21" w:rsidRPr="000450F7">
        <w:rPr>
          <w:sz w:val="22"/>
          <w:szCs w:val="22"/>
        </w:rPr>
        <w:t>k</w:t>
      </w:r>
      <w:r w:rsidRPr="000450F7">
        <w:rPr>
          <w:sz w:val="22"/>
          <w:szCs w:val="22"/>
        </w:rPr>
        <w:t xml:space="preserve"> odstranění vad oznámených v záruční době smluvní strany sjednávají smluvní pokutu ve výši </w:t>
      </w:r>
      <w:r w:rsidR="001A4989" w:rsidRPr="000450F7">
        <w:rPr>
          <w:sz w:val="22"/>
          <w:szCs w:val="22"/>
        </w:rPr>
        <w:t>1000</w:t>
      </w:r>
      <w:r w:rsidRPr="000450F7">
        <w:rPr>
          <w:sz w:val="22"/>
          <w:szCs w:val="22"/>
        </w:rPr>
        <w:t xml:space="preserve">,- Kč za každý den prodlení a jednotlivou vadu do doby odstranění vady. </w:t>
      </w:r>
    </w:p>
    <w:p w:rsidR="005B73C5" w:rsidRPr="000450F7" w:rsidRDefault="005B73C5" w:rsidP="005B73C5">
      <w:pPr>
        <w:suppressAutoHyphens/>
        <w:overflowPunct/>
        <w:autoSpaceDE/>
        <w:autoSpaceDN/>
        <w:adjustRightInd/>
        <w:ind w:left="284"/>
        <w:jc w:val="both"/>
        <w:textAlignment w:val="auto"/>
        <w:rPr>
          <w:sz w:val="22"/>
          <w:szCs w:val="22"/>
        </w:rPr>
      </w:pPr>
    </w:p>
    <w:p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rsidR="00EE4813" w:rsidRPr="000450F7" w:rsidRDefault="00EE4813" w:rsidP="005B73C5">
      <w:pPr>
        <w:jc w:val="center"/>
        <w:rPr>
          <w:b/>
          <w:sz w:val="22"/>
          <w:szCs w:val="22"/>
        </w:rPr>
      </w:pPr>
      <w:r w:rsidRPr="000450F7">
        <w:rPr>
          <w:b/>
          <w:sz w:val="22"/>
          <w:szCs w:val="22"/>
        </w:rPr>
        <w:t>Záruka integrity</w:t>
      </w:r>
    </w:p>
    <w:p w:rsidR="00EE4813" w:rsidRPr="000450F7" w:rsidRDefault="00EE4813" w:rsidP="005B73C5">
      <w:pPr>
        <w:jc w:val="center"/>
        <w:rPr>
          <w:b/>
          <w:sz w:val="22"/>
          <w:szCs w:val="22"/>
        </w:rPr>
      </w:pPr>
    </w:p>
    <w:p w:rsidR="00EE4813" w:rsidRPr="000450F7" w:rsidRDefault="00EE4813" w:rsidP="00EE4813">
      <w:pPr>
        <w:numPr>
          <w:ilvl w:val="0"/>
          <w:numId w:val="23"/>
        </w:numPr>
        <w:ind w:left="284" w:hanging="284"/>
        <w:rPr>
          <w:color w:val="000000"/>
          <w:sz w:val="24"/>
          <w:szCs w:val="24"/>
        </w:rPr>
      </w:pPr>
      <w:r w:rsidRPr="000450F7">
        <w:rPr>
          <w:color w:val="000000"/>
          <w:sz w:val="24"/>
          <w:szCs w:val="24"/>
        </w:rPr>
        <w:t xml:space="preserve">Dodavatel prohlašuje, že se před uzavřením smlouvy nedopustil v souvislosti se </w:t>
      </w:r>
      <w:proofErr w:type="gramStart"/>
      <w:r w:rsidRPr="000450F7">
        <w:rPr>
          <w:color w:val="000000"/>
          <w:sz w:val="24"/>
          <w:szCs w:val="24"/>
        </w:rPr>
        <w:t>zadávacím      řízením</w:t>
      </w:r>
      <w:proofErr w:type="gramEnd"/>
      <w:r w:rsidR="00304010" w:rsidRPr="000450F7">
        <w:rPr>
          <w:color w:val="000000"/>
          <w:sz w:val="24"/>
          <w:szCs w:val="24"/>
        </w:rPr>
        <w:t>,</w:t>
      </w:r>
      <w:r w:rsidRPr="000450F7">
        <w:rPr>
          <w:color w:val="000000"/>
          <w:sz w:val="24"/>
          <w:szCs w:val="24"/>
        </w:rPr>
        <w:t xml:space="preserve">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w:t>
      </w:r>
      <w:r w:rsidRPr="000450F7">
        <w:rPr>
          <w:color w:val="000000"/>
          <w:sz w:val="24"/>
          <w:szCs w:val="24"/>
        </w:rPr>
        <w:lastRenderedPageBreak/>
        <w:t xml:space="preserve">hospodářskou soutěž, a současně dává záruku, že se ani po uzavření smlouvy se zadavatelem žádného obdobného jednání nedopustí. </w:t>
      </w:r>
    </w:p>
    <w:p w:rsidR="0021776D" w:rsidRDefault="00EE4813" w:rsidP="0021776D">
      <w:pPr>
        <w:numPr>
          <w:ilvl w:val="0"/>
          <w:numId w:val="23"/>
        </w:numPr>
        <w:ind w:left="284" w:hanging="284"/>
        <w:rPr>
          <w:color w:val="000000"/>
          <w:sz w:val="24"/>
          <w:szCs w:val="24"/>
        </w:rPr>
      </w:pPr>
      <w:r w:rsidRPr="000450F7">
        <w:rPr>
          <w:color w:val="000000"/>
          <w:sz w:val="24"/>
          <w:szCs w:val="24"/>
        </w:rPr>
        <w:t>Zadavatel má právo odstoupit od smlouvy, jestliže se prohlášení dodavatele o integritě ukáže být nepravdivým nebo jestliže dodavatel poruší záruku integrity po uzavření smlouvy se zadavatelem.</w:t>
      </w:r>
    </w:p>
    <w:p w:rsidR="0021776D" w:rsidRPr="0021776D" w:rsidRDefault="0021776D" w:rsidP="0021776D">
      <w:pPr>
        <w:numPr>
          <w:ilvl w:val="0"/>
          <w:numId w:val="23"/>
        </w:numPr>
        <w:ind w:left="284" w:hanging="284"/>
        <w:rPr>
          <w:color w:val="000000"/>
          <w:sz w:val="24"/>
          <w:szCs w:val="24"/>
        </w:rPr>
      </w:pPr>
      <w:r w:rsidRPr="0021776D">
        <w:rPr>
          <w:sz w:val="24"/>
          <w:szCs w:val="24"/>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EE4813" w:rsidRPr="000450F7" w:rsidRDefault="00EE4813" w:rsidP="00EE4813">
      <w:pPr>
        <w:rPr>
          <w:b/>
          <w:sz w:val="22"/>
          <w:szCs w:val="22"/>
        </w:rPr>
      </w:pPr>
    </w:p>
    <w:p w:rsidR="00630EBF" w:rsidRPr="000450F7" w:rsidRDefault="00630EBF" w:rsidP="00EE4813">
      <w:pPr>
        <w:rPr>
          <w:b/>
          <w:sz w:val="22"/>
          <w:szCs w:val="22"/>
        </w:rPr>
      </w:pPr>
    </w:p>
    <w:p w:rsidR="00EE4813" w:rsidRPr="000450F7" w:rsidRDefault="00EE4813" w:rsidP="00EE4813">
      <w:pPr>
        <w:jc w:val="center"/>
        <w:rPr>
          <w:b/>
          <w:sz w:val="22"/>
          <w:szCs w:val="22"/>
        </w:rPr>
      </w:pPr>
      <w:r w:rsidRPr="000450F7">
        <w:rPr>
          <w:b/>
          <w:sz w:val="22"/>
          <w:szCs w:val="22"/>
        </w:rPr>
        <w:t>VII.</w:t>
      </w:r>
    </w:p>
    <w:p w:rsidR="005B73C5" w:rsidRPr="000450F7" w:rsidRDefault="005B73C5" w:rsidP="005B73C5">
      <w:pPr>
        <w:jc w:val="center"/>
        <w:rPr>
          <w:b/>
          <w:sz w:val="22"/>
          <w:szCs w:val="22"/>
        </w:rPr>
      </w:pPr>
      <w:r w:rsidRPr="000450F7">
        <w:rPr>
          <w:b/>
          <w:sz w:val="22"/>
          <w:szCs w:val="22"/>
        </w:rPr>
        <w:t>Závěrečná ustanovení</w:t>
      </w:r>
    </w:p>
    <w:p w:rsidR="001A4989" w:rsidRPr="000450F7" w:rsidRDefault="001A4989" w:rsidP="005B73C5">
      <w:pPr>
        <w:jc w:val="center"/>
        <w:rPr>
          <w:b/>
          <w:sz w:val="22"/>
          <w:szCs w:val="22"/>
        </w:rPr>
      </w:pPr>
    </w:p>
    <w:p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Je-li v této smlouvě sjednána smluvní pokuta, nemá toto ujednání vliv na právo příslušné smluvní strany požadovat vedle smluvní pokuty i náhradu škody</w:t>
      </w:r>
      <w:r w:rsidR="00ED2C72" w:rsidRPr="000450F7">
        <w:rPr>
          <w:sz w:val="22"/>
          <w:szCs w:val="22"/>
        </w:rPr>
        <w:t>,</w:t>
      </w:r>
      <w:r w:rsidRPr="000450F7">
        <w:rPr>
          <w:sz w:val="22"/>
          <w:szCs w:val="22"/>
        </w:rPr>
        <w:t xml:space="preserve"> a to včetně škody smluvní pokutu přesahující.</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Jakékoli změny a doplňky této smlouvy lze učinit pouze písemně.</w:t>
      </w:r>
    </w:p>
    <w:p w:rsidR="00946FCA" w:rsidRPr="000450F7" w:rsidRDefault="005B73C5" w:rsidP="00946FCA">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Tato smlouva je vyhotovena ve dvou stejnopisech, z nichž každá ze smluvních stran obdrží po jednom.</w:t>
      </w:r>
    </w:p>
    <w:p w:rsidR="00946FCA" w:rsidRPr="000450F7" w:rsidRDefault="00946FCA" w:rsidP="00946FCA">
      <w:pPr>
        <w:numPr>
          <w:ilvl w:val="0"/>
          <w:numId w:val="22"/>
        </w:numPr>
        <w:suppressAutoHyphens/>
        <w:overflowPunct/>
        <w:autoSpaceDE/>
        <w:autoSpaceDN/>
        <w:adjustRightInd/>
        <w:ind w:left="284" w:hanging="284"/>
        <w:jc w:val="both"/>
        <w:textAlignment w:val="auto"/>
        <w:rPr>
          <w:sz w:val="22"/>
          <w:szCs w:val="22"/>
        </w:rPr>
      </w:pPr>
      <w:r w:rsidRPr="000450F7">
        <w:rPr>
          <w:sz w:val="24"/>
          <w:szCs w:val="24"/>
        </w:rPr>
        <w:t>„</w:t>
      </w:r>
      <w:r w:rsidRPr="000450F7">
        <w:rPr>
          <w:i/>
          <w:sz w:val="24"/>
          <w:szCs w:val="24"/>
        </w:rPr>
        <w:t xml:space="preserve">Smluvní strany berou na vědomí, že tato smlouva vyžaduje ke své účinnosti uveřejnění v registru smluv podle zákona č. 340/2015 Sb. a s tímto uveřejněním souhlasí. </w:t>
      </w:r>
    </w:p>
    <w:p w:rsidR="00946FCA" w:rsidRPr="000450F7" w:rsidRDefault="00946FCA" w:rsidP="00946FCA">
      <w:pPr>
        <w:tabs>
          <w:tab w:val="left" w:pos="1950"/>
        </w:tabs>
        <w:ind w:left="284"/>
        <w:jc w:val="both"/>
        <w:rPr>
          <w:i/>
          <w:sz w:val="24"/>
          <w:szCs w:val="24"/>
        </w:rPr>
      </w:pPr>
      <w:r w:rsidRPr="000450F7">
        <w:rPr>
          <w:i/>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p>
    <w:p w:rsidR="00946FCA" w:rsidRPr="000450F7" w:rsidRDefault="00946FCA" w:rsidP="00946FCA">
      <w:pPr>
        <w:tabs>
          <w:tab w:val="left" w:pos="1950"/>
        </w:tabs>
        <w:ind w:left="284"/>
        <w:jc w:val="both"/>
        <w:rPr>
          <w:sz w:val="24"/>
          <w:szCs w:val="24"/>
        </w:rPr>
      </w:pPr>
      <w:r w:rsidRPr="000450F7">
        <w:rPr>
          <w:i/>
          <w:sz w:val="24"/>
          <w:szCs w:val="24"/>
        </w:rPr>
        <w:t xml:space="preserve">Zaslání smlouvy do registru smluv zajistí </w:t>
      </w:r>
      <w:r w:rsidRPr="000450F7">
        <w:rPr>
          <w:i/>
          <w:sz w:val="24"/>
          <w:szCs w:val="24"/>
          <w:u w:val="single"/>
        </w:rPr>
        <w:t>HLKS</w:t>
      </w:r>
      <w:r w:rsidRPr="000450F7">
        <w:rPr>
          <w:i/>
          <w:sz w:val="24"/>
          <w:szCs w:val="24"/>
        </w:rPr>
        <w:t xml:space="preserve"> neprodleně po podpisu smlouvy. </w:t>
      </w:r>
      <w:r w:rsidRPr="000450F7">
        <w:rPr>
          <w:i/>
          <w:sz w:val="24"/>
          <w:szCs w:val="24"/>
          <w:u w:val="single"/>
        </w:rPr>
        <w:t>HLKS</w:t>
      </w:r>
      <w:r w:rsidRPr="000450F7">
        <w:rPr>
          <w:i/>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Pr="000450F7">
        <w:rPr>
          <w:sz w:val="24"/>
          <w:szCs w:val="24"/>
        </w:rPr>
        <w:t>“</w:t>
      </w:r>
    </w:p>
    <w:p w:rsidR="00946FCA" w:rsidRPr="000450F7" w:rsidRDefault="00946FCA" w:rsidP="00946FCA">
      <w:pPr>
        <w:suppressAutoHyphens/>
        <w:overflowPunct/>
        <w:autoSpaceDE/>
        <w:autoSpaceDN/>
        <w:adjustRightInd/>
        <w:ind w:left="284"/>
        <w:jc w:val="both"/>
        <w:textAlignment w:val="auto"/>
        <w:rPr>
          <w:sz w:val="22"/>
          <w:szCs w:val="22"/>
        </w:rPr>
      </w:pPr>
    </w:p>
    <w:p w:rsidR="00D4536C" w:rsidRPr="000450F7" w:rsidRDefault="00D4536C" w:rsidP="00D4536C">
      <w:pPr>
        <w:pStyle w:val="Nzev"/>
        <w:spacing w:after="0"/>
        <w:ind w:left="0" w:firstLine="0"/>
        <w:rPr>
          <w:rFonts w:ascii="Times New Roman" w:hAnsi="Times New Roman"/>
          <w:b w:val="0"/>
          <w:bCs/>
          <w:smallCaps/>
          <w:sz w:val="22"/>
          <w:szCs w:val="22"/>
        </w:rPr>
      </w:pPr>
    </w:p>
    <w:p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t>Na důkaz toho, že celý obsah smlouvy je projevem jejich pravé a svobodné vůle, připojují smluvní strany své vlastnoruční podpisy.</w:t>
      </w:r>
    </w:p>
    <w:p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rsidTr="005B73C5">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sdt>
              <w:sdtPr>
                <w:rPr>
                  <w:color w:val="000000"/>
                  <w:sz w:val="22"/>
                  <w:szCs w:val="22"/>
                  <w:highlight w:val="cyan"/>
                </w:rPr>
                <w:id w:val="-2143495459"/>
                <w:placeholder>
                  <w:docPart w:val="DefaultPlaceholder_1081868574"/>
                </w:placeholder>
                <w:showingPlcHdr/>
                <w:text/>
              </w:sdtPr>
              <w:sdtEndPr/>
              <w:sdtContent>
                <w:r w:rsidR="00946FCA" w:rsidRPr="000450F7">
                  <w:rPr>
                    <w:rStyle w:val="Zstupntext"/>
                    <w:rFonts w:eastAsia="Calibri"/>
                  </w:rPr>
                  <w:t>Klikněte sem a zadejte text.</w:t>
                </w:r>
              </w:sdtContent>
            </w:sdt>
          </w:p>
        </w:tc>
      </w:tr>
      <w:tr w:rsidR="00401A21" w:rsidRPr="000450F7" w:rsidTr="005B73C5">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rsidTr="005B73C5">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rsidTr="005B73C5">
        <w:sdt>
          <w:sdtPr>
            <w:rPr>
              <w:color w:val="000000"/>
              <w:sz w:val="22"/>
              <w:szCs w:val="22"/>
            </w:rPr>
            <w:id w:val="-658075814"/>
            <w:placeholder>
              <w:docPart w:val="DefaultPlaceholder_1081868574"/>
            </w:placeholder>
            <w:showingPlcHdr/>
            <w:text/>
          </w:sdtPr>
          <w:sdtEndPr/>
          <w:sdtContent>
            <w:tc>
              <w:tcPr>
                <w:tcW w:w="4606" w:type="dxa"/>
              </w:tcPr>
              <w:p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81" w:rsidRDefault="00990981">
      <w:r>
        <w:separator/>
      </w:r>
    </w:p>
  </w:endnote>
  <w:endnote w:type="continuationSeparator" w:id="0">
    <w:p w:rsidR="00990981" w:rsidRDefault="0099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0BF4">
      <w:rPr>
        <w:rStyle w:val="slostrnky"/>
        <w:noProof/>
      </w:rPr>
      <w:t>4</w:t>
    </w:r>
    <w:r>
      <w:rPr>
        <w:rStyle w:val="slostrnky"/>
      </w:rPr>
      <w:fldChar w:fldCharType="end"/>
    </w:r>
  </w:p>
  <w:p w:rsidR="000450F7" w:rsidRDefault="000450F7" w:rsidP="000450F7">
    <w:pPr>
      <w:pStyle w:val="Default"/>
      <w:rPr>
        <w:rFonts w:ascii="Times New Roman" w:hAnsi="Times New Roman" w:cs="Times New Roman"/>
        <w:bCs/>
        <w:i/>
        <w:sz w:val="22"/>
        <w:szCs w:val="22"/>
        <w:u w:val="single"/>
      </w:rPr>
    </w:pPr>
  </w:p>
  <w:p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81" w:rsidRDefault="00990981">
      <w:r>
        <w:separator/>
      </w:r>
    </w:p>
  </w:footnote>
  <w:footnote w:type="continuationSeparator" w:id="0">
    <w:p w:rsidR="00990981" w:rsidRDefault="0099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FC" w:rsidRPr="007444C5" w:rsidRDefault="0021776D" w:rsidP="000228FC">
    <w:pPr>
      <w:jc w:val="right"/>
    </w:pPr>
    <w:r w:rsidRPr="0021776D">
      <w:rPr>
        <w:b/>
      </w:rPr>
      <w:t xml:space="preserve">Příloha č </w:t>
    </w:r>
    <w:r w:rsidR="007279B9">
      <w:rPr>
        <w:b/>
      </w:rPr>
      <w:t>7</w:t>
    </w:r>
    <w:r>
      <w:t xml:space="preserve"> - </w:t>
    </w:r>
    <w:r w:rsidR="000228FC">
      <w:t>Návrh smlouvy o dílo</w:t>
    </w:r>
    <w:r w:rsidR="000228FC" w:rsidRPr="007444C5">
      <w:t xml:space="preserve"> k zakázce s názvem:</w:t>
    </w:r>
  </w:p>
  <w:p w:rsidR="000228FC" w:rsidRDefault="000228FC" w:rsidP="000228FC">
    <w:pPr>
      <w:pStyle w:val="Citt1"/>
      <w:pBdr>
        <w:bottom w:val="single" w:sz="4" w:space="9" w:color="auto"/>
      </w:pBdr>
      <w:spacing w:before="0"/>
      <w:ind w:left="0"/>
      <w:jc w:val="center"/>
    </w:pPr>
    <w:r>
      <w:rPr>
        <w:rFonts w:ascii="Times New Roman" w:hAnsi="Times New Roman"/>
        <w:bCs/>
      </w:rPr>
      <w:tab/>
    </w:r>
    <w:r>
      <w:rPr>
        <w:rFonts w:ascii="Times New Roman" w:hAnsi="Times New Roman"/>
        <w:bCs/>
      </w:rPr>
      <w:tab/>
    </w:r>
    <w:r w:rsidRPr="007444C5">
      <w:rPr>
        <w:rFonts w:ascii="Times New Roman" w:hAnsi="Times New Roman"/>
        <w:bCs/>
      </w:rPr>
      <w:t>„</w:t>
    </w:r>
    <w:r w:rsidR="007279B9">
      <w:rPr>
        <w:rFonts w:ascii="Times New Roman" w:hAnsi="Times New Roman"/>
        <w:bCs/>
      </w:rPr>
      <w:t>STAVEBNÍ PRÁCE LD LIBUŠE</w:t>
    </w:r>
    <w:r w:rsidRPr="007444C5">
      <w:rPr>
        <w:rFonts w:ascii="Times New Roman" w:hAnsi="Times New Roman"/>
        <w:bCs/>
      </w:rPr>
      <w:t>“</w:t>
    </w:r>
  </w:p>
  <w:p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3015C"/>
    <w:multiLevelType w:val="hybridMultilevel"/>
    <w:tmpl w:val="9968B56A"/>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1"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5"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6"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0"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28"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9"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27"/>
  </w:num>
  <w:num w:numId="2">
    <w:abstractNumId w:val="27"/>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4"/>
  </w:num>
  <w:num w:numId="4">
    <w:abstractNumId w:val="15"/>
  </w:num>
  <w:num w:numId="5">
    <w:abstractNumId w:val="17"/>
  </w:num>
  <w:num w:numId="6">
    <w:abstractNumId w:val="29"/>
  </w:num>
  <w:num w:numId="7">
    <w:abstractNumId w:val="16"/>
  </w:num>
  <w:num w:numId="8">
    <w:abstractNumId w:val="10"/>
  </w:num>
  <w:num w:numId="9">
    <w:abstractNumId w:val="13"/>
  </w:num>
  <w:num w:numId="10">
    <w:abstractNumId w:val="1"/>
  </w:num>
  <w:num w:numId="11">
    <w:abstractNumId w:val="11"/>
  </w:num>
  <w:num w:numId="12">
    <w:abstractNumId w:val="2"/>
  </w:num>
  <w:num w:numId="13">
    <w:abstractNumId w:val="5"/>
  </w:num>
  <w:num w:numId="14">
    <w:abstractNumId w:val="19"/>
  </w:num>
  <w:num w:numId="15">
    <w:abstractNumId w:val="6"/>
  </w:num>
  <w:num w:numId="16">
    <w:abstractNumId w:val="24"/>
  </w:num>
  <w:num w:numId="17">
    <w:abstractNumId w:val="4"/>
  </w:num>
  <w:num w:numId="18">
    <w:abstractNumId w:val="25"/>
  </w:num>
  <w:num w:numId="19">
    <w:abstractNumId w:val="22"/>
  </w:num>
  <w:num w:numId="20">
    <w:abstractNumId w:val="3"/>
  </w:num>
  <w:num w:numId="21">
    <w:abstractNumId w:val="0"/>
  </w:num>
  <w:num w:numId="22">
    <w:abstractNumId w:val="12"/>
  </w:num>
  <w:num w:numId="23">
    <w:abstractNumId w:val="26"/>
  </w:num>
  <w:num w:numId="24">
    <w:abstractNumId w:val="28"/>
  </w:num>
  <w:num w:numId="25">
    <w:abstractNumId w:val="23"/>
  </w:num>
  <w:num w:numId="26">
    <w:abstractNumId w:val="21"/>
  </w:num>
  <w:num w:numId="27">
    <w:abstractNumId w:val="8"/>
  </w:num>
  <w:num w:numId="28">
    <w:abstractNumId w:val="18"/>
  </w:num>
  <w:num w:numId="29">
    <w:abstractNumId w:val="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trackRevisions/>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BAA"/>
    <w:rsid w:val="000B5B8B"/>
    <w:rsid w:val="000E2755"/>
    <w:rsid w:val="00134F14"/>
    <w:rsid w:val="001A4989"/>
    <w:rsid w:val="0020369B"/>
    <w:rsid w:val="00216B77"/>
    <w:rsid w:val="0021776D"/>
    <w:rsid w:val="00241D5C"/>
    <w:rsid w:val="00245598"/>
    <w:rsid w:val="00265480"/>
    <w:rsid w:val="002B6595"/>
    <w:rsid w:val="002D1180"/>
    <w:rsid w:val="002E3B8C"/>
    <w:rsid w:val="00304010"/>
    <w:rsid w:val="00347503"/>
    <w:rsid w:val="00381063"/>
    <w:rsid w:val="00385EF1"/>
    <w:rsid w:val="003B06B4"/>
    <w:rsid w:val="003E5753"/>
    <w:rsid w:val="00401A21"/>
    <w:rsid w:val="0041053D"/>
    <w:rsid w:val="00443179"/>
    <w:rsid w:val="00446831"/>
    <w:rsid w:val="004655B5"/>
    <w:rsid w:val="00482851"/>
    <w:rsid w:val="004923BA"/>
    <w:rsid w:val="00497885"/>
    <w:rsid w:val="004E19F3"/>
    <w:rsid w:val="004E70DF"/>
    <w:rsid w:val="00514C53"/>
    <w:rsid w:val="00520BF4"/>
    <w:rsid w:val="00567486"/>
    <w:rsid w:val="00570AC0"/>
    <w:rsid w:val="00571496"/>
    <w:rsid w:val="005928DE"/>
    <w:rsid w:val="005B73C5"/>
    <w:rsid w:val="005C321A"/>
    <w:rsid w:val="005D71C4"/>
    <w:rsid w:val="005E2E75"/>
    <w:rsid w:val="0061581D"/>
    <w:rsid w:val="00630EBF"/>
    <w:rsid w:val="00687E1C"/>
    <w:rsid w:val="006C7948"/>
    <w:rsid w:val="006D20E7"/>
    <w:rsid w:val="006E7EED"/>
    <w:rsid w:val="006F39E6"/>
    <w:rsid w:val="00712A6A"/>
    <w:rsid w:val="0072368A"/>
    <w:rsid w:val="007279B9"/>
    <w:rsid w:val="00743435"/>
    <w:rsid w:val="007D0671"/>
    <w:rsid w:val="007E6B5B"/>
    <w:rsid w:val="007F3A06"/>
    <w:rsid w:val="00816A86"/>
    <w:rsid w:val="0083405D"/>
    <w:rsid w:val="0084557C"/>
    <w:rsid w:val="008637A7"/>
    <w:rsid w:val="00893E35"/>
    <w:rsid w:val="008B1003"/>
    <w:rsid w:val="008C2BBA"/>
    <w:rsid w:val="008C6378"/>
    <w:rsid w:val="00946FCA"/>
    <w:rsid w:val="00983967"/>
    <w:rsid w:val="00990981"/>
    <w:rsid w:val="00995912"/>
    <w:rsid w:val="009B7A90"/>
    <w:rsid w:val="009C55A0"/>
    <w:rsid w:val="00A027FE"/>
    <w:rsid w:val="00A21D06"/>
    <w:rsid w:val="00A21DF2"/>
    <w:rsid w:val="00A42472"/>
    <w:rsid w:val="00A51619"/>
    <w:rsid w:val="00A90A83"/>
    <w:rsid w:val="00AB6B0D"/>
    <w:rsid w:val="00AE13C9"/>
    <w:rsid w:val="00AF1919"/>
    <w:rsid w:val="00AF22B1"/>
    <w:rsid w:val="00AF5452"/>
    <w:rsid w:val="00B24F67"/>
    <w:rsid w:val="00B35DAB"/>
    <w:rsid w:val="00B521E4"/>
    <w:rsid w:val="00B664FD"/>
    <w:rsid w:val="00B95184"/>
    <w:rsid w:val="00BC5F31"/>
    <w:rsid w:val="00BF7D5F"/>
    <w:rsid w:val="00C50BBA"/>
    <w:rsid w:val="00CA47BA"/>
    <w:rsid w:val="00CB35FD"/>
    <w:rsid w:val="00D4536C"/>
    <w:rsid w:val="00D70201"/>
    <w:rsid w:val="00D87371"/>
    <w:rsid w:val="00D96B03"/>
    <w:rsid w:val="00DA63AF"/>
    <w:rsid w:val="00DE1EC6"/>
    <w:rsid w:val="00E06400"/>
    <w:rsid w:val="00E244A3"/>
    <w:rsid w:val="00E477CC"/>
    <w:rsid w:val="00E47ACF"/>
    <w:rsid w:val="00E8545C"/>
    <w:rsid w:val="00EA5FAD"/>
    <w:rsid w:val="00EA75E9"/>
    <w:rsid w:val="00EC41D7"/>
    <w:rsid w:val="00ED2C72"/>
    <w:rsid w:val="00EE0E9F"/>
    <w:rsid w:val="00EE4813"/>
    <w:rsid w:val="00F31AC7"/>
    <w:rsid w:val="00F77645"/>
    <w:rsid w:val="00F77AE4"/>
    <w:rsid w:val="00F80524"/>
    <w:rsid w:val="00F84654"/>
    <w:rsid w:val="00FA6AB4"/>
    <w:rsid w:val="00FB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1C22A2"/>
    <w:rsid w:val="001C2824"/>
    <w:rsid w:val="00390B8D"/>
    <w:rsid w:val="00590B99"/>
    <w:rsid w:val="007463B4"/>
    <w:rsid w:val="008C66DD"/>
    <w:rsid w:val="00AB2CB3"/>
    <w:rsid w:val="00CC6979"/>
    <w:rsid w:val="00DD6648"/>
    <w:rsid w:val="00FC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1669</Words>
  <Characters>9852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Reichl Roman</cp:lastModifiedBy>
  <cp:revision>8</cp:revision>
  <cp:lastPrinted>2017-09-18T07:37:00Z</cp:lastPrinted>
  <dcterms:created xsi:type="dcterms:W3CDTF">2017-09-19T06:05:00Z</dcterms:created>
  <dcterms:modified xsi:type="dcterms:W3CDTF">2017-09-21T04:36:00Z</dcterms:modified>
</cp:coreProperties>
</file>