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421" w14:textId="63C96899" w:rsidR="00ED4A76" w:rsidRPr="00ED4A76" w:rsidRDefault="00A20155" w:rsidP="00ED4A76">
      <w:pPr>
        <w:pStyle w:val="Nadpis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Toc90556774"/>
      <w:bookmarkStart w:id="1" w:name="_Toc90556877"/>
      <w:r>
        <w:rPr>
          <w:rFonts w:ascii="Times New Roman" w:hAnsi="Times New Roman" w:cs="Times New Roman"/>
          <w:sz w:val="32"/>
        </w:rPr>
        <w:t xml:space="preserve">            </w:t>
      </w:r>
      <w:r w:rsidR="00ED4A76" w:rsidRPr="00ED4A76">
        <w:rPr>
          <w:rFonts w:ascii="Times New Roman" w:hAnsi="Times New Roman" w:cs="Times New Roman"/>
          <w:sz w:val="32"/>
        </w:rPr>
        <w:t>Podávání stížností a podnětů</w:t>
      </w:r>
      <w:bookmarkEnd w:id="0"/>
      <w:bookmarkEnd w:id="1"/>
      <w:r w:rsidR="00ED4A76" w:rsidRPr="00ED4A76">
        <w:rPr>
          <w:rFonts w:ascii="Times New Roman" w:hAnsi="Times New Roman" w:cs="Times New Roman"/>
          <w:sz w:val="32"/>
        </w:rPr>
        <w:t xml:space="preserve"> </w:t>
      </w:r>
    </w:p>
    <w:p w14:paraId="152E62B8" w14:textId="77777777" w:rsidR="00ED4A76" w:rsidRPr="00ED4A76" w:rsidRDefault="00ED4A76" w:rsidP="00ED4A76">
      <w:pPr>
        <w:pStyle w:val="Nadpis1"/>
        <w:numPr>
          <w:ilvl w:val="0"/>
          <w:numId w:val="0"/>
        </w:numPr>
        <w:spacing w:before="0" w:after="240"/>
        <w:jc w:val="center"/>
        <w:rPr>
          <w:rFonts w:ascii="Times New Roman" w:hAnsi="Times New Roman" w:cs="Times New Roman"/>
          <w:sz w:val="32"/>
        </w:rPr>
      </w:pPr>
      <w:bookmarkStart w:id="2" w:name="_Toc90556775"/>
      <w:bookmarkStart w:id="3" w:name="_Toc90556878"/>
      <w:r w:rsidRPr="00ED4A76">
        <w:rPr>
          <w:rFonts w:ascii="Times New Roman" w:hAnsi="Times New Roman" w:cs="Times New Roman"/>
          <w:sz w:val="32"/>
        </w:rPr>
        <w:t>(zjednodušený postup)</w:t>
      </w:r>
      <w:bookmarkEnd w:id="2"/>
      <w:bookmarkEnd w:id="3"/>
    </w:p>
    <w:p w14:paraId="2F8DE052" w14:textId="77777777" w:rsidR="00ED4A76" w:rsidRPr="00ED4A76" w:rsidRDefault="00ED4A76" w:rsidP="00ED4A76">
      <w:pPr>
        <w:pStyle w:val="Nadpis1"/>
        <w:numPr>
          <w:ilvl w:val="0"/>
          <w:numId w:val="0"/>
        </w:numPr>
        <w:shd w:val="clear" w:color="auto" w:fill="E2EFD9"/>
        <w:spacing w:after="240"/>
        <w:rPr>
          <w:rFonts w:ascii="Times New Roman" w:hAnsi="Times New Roman" w:cs="Times New Roman"/>
          <w:sz w:val="24"/>
          <w:szCs w:val="24"/>
        </w:rPr>
      </w:pPr>
      <w:bookmarkStart w:id="4" w:name="_Toc90556776"/>
      <w:bookmarkStart w:id="5" w:name="_Toc90556879"/>
      <w:r w:rsidRPr="00ED4A76">
        <w:rPr>
          <w:rFonts w:ascii="Times New Roman" w:hAnsi="Times New Roman" w:cs="Times New Roman"/>
          <w:sz w:val="24"/>
          <w:szCs w:val="24"/>
        </w:rPr>
        <w:t>Co je stížnost a podnět</w:t>
      </w:r>
      <w:bookmarkEnd w:id="4"/>
      <w:bookmarkEnd w:id="5"/>
      <w:r w:rsidRPr="00ED4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37B75" w14:textId="77777777" w:rsidR="00ED4A76" w:rsidRPr="00ED4A76" w:rsidRDefault="00ED4A76" w:rsidP="00ED4A76">
      <w:pPr>
        <w:pStyle w:val="Zkladntext"/>
        <w:jc w:val="both"/>
        <w:rPr>
          <w:rFonts w:ascii="Times New Roman" w:hAnsi="Times New Roman"/>
          <w:b w:val="0"/>
          <w:bCs/>
          <w:color w:val="auto"/>
          <w:szCs w:val="24"/>
        </w:rPr>
      </w:pPr>
      <w:r w:rsidRPr="00ED4A76">
        <w:rPr>
          <w:rFonts w:ascii="Times New Roman" w:hAnsi="Times New Roman"/>
          <w:b w:val="0"/>
          <w:bCs/>
          <w:color w:val="auto"/>
          <w:szCs w:val="24"/>
        </w:rPr>
        <w:t>Stížnost je nespokojenost, při které může docházet k poškozování nároku klientů týkajících se služby.</w:t>
      </w:r>
    </w:p>
    <w:p w14:paraId="62043741" w14:textId="77777777" w:rsidR="00ED4A76" w:rsidRPr="00ED4A76" w:rsidRDefault="00ED4A76" w:rsidP="00ED4A76">
      <w:pPr>
        <w:spacing w:after="240" w:line="256" w:lineRule="auto"/>
        <w:ind w:left="4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Podnět je sdělení, při kterém nedochází k poškozování nároku klientů. Může to být například návrh na zlepšení služby.</w:t>
      </w:r>
    </w:p>
    <w:p w14:paraId="56C8AD47" w14:textId="77777777" w:rsidR="00ED4A76" w:rsidRPr="00ED4A76" w:rsidRDefault="00ED4A76" w:rsidP="00ED4A76">
      <w:pPr>
        <w:pStyle w:val="Nadpis1"/>
        <w:numPr>
          <w:ilvl w:val="0"/>
          <w:numId w:val="0"/>
        </w:numPr>
        <w:shd w:val="clear" w:color="auto" w:fill="E2EFD9"/>
        <w:spacing w:after="240"/>
        <w:ind w:left="-6"/>
        <w:rPr>
          <w:rFonts w:ascii="Times New Roman" w:hAnsi="Times New Roman" w:cs="Times New Roman"/>
          <w:sz w:val="24"/>
          <w:szCs w:val="24"/>
        </w:rPr>
      </w:pPr>
      <w:bookmarkStart w:id="6" w:name="_Toc90556777"/>
      <w:bookmarkStart w:id="7" w:name="_Toc90556880"/>
      <w:r w:rsidRPr="00ED4A76">
        <w:rPr>
          <w:rFonts w:ascii="Times New Roman" w:hAnsi="Times New Roman" w:cs="Times New Roman"/>
          <w:sz w:val="24"/>
          <w:szCs w:val="24"/>
        </w:rPr>
        <w:t>Podání a přijetí stížnosti podnětu</w:t>
      </w:r>
      <w:bookmarkEnd w:id="6"/>
      <w:bookmarkEnd w:id="7"/>
    </w:p>
    <w:p w14:paraId="6BAC4F83" w14:textId="77777777" w:rsidR="00ED4A76" w:rsidRPr="00ED4A76" w:rsidRDefault="00ED4A76" w:rsidP="00ED4A76">
      <w:pPr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Stížnost nebo podnět může podat jakákoli osoba. Stížnost může být podána písemně, ústně, s uvedením jména nebo anonymně, osobně nebo pomocí zástupce.</w:t>
      </w:r>
    </w:p>
    <w:p w14:paraId="4C7342CF" w14:textId="77777777" w:rsidR="00ED4A76" w:rsidRPr="00ED4A76" w:rsidRDefault="00ED4A76" w:rsidP="00ED4A76">
      <w:pPr>
        <w:spacing w:before="240"/>
        <w:ind w:left="19" w:hanging="18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Stížnost může stěžovatel:</w:t>
      </w:r>
    </w:p>
    <w:p w14:paraId="7CD6E087" w14:textId="77777777" w:rsidR="00ED4A76" w:rsidRPr="00ED4A76" w:rsidRDefault="00ED4A76" w:rsidP="00ED4A76">
      <w:pPr>
        <w:pStyle w:val="Odstavecseseznamem"/>
        <w:numPr>
          <w:ilvl w:val="0"/>
          <w:numId w:val="2"/>
        </w:numPr>
        <w:spacing w:before="120" w:after="5" w:line="302" w:lineRule="auto"/>
        <w:ind w:right="4"/>
        <w:jc w:val="both"/>
        <w:rPr>
          <w:rFonts w:ascii="Times New Roman" w:hAnsi="Times New Roman"/>
          <w:color w:val="000000"/>
          <w:sz w:val="24"/>
          <w:lang w:val="cs-CZ"/>
        </w:rPr>
      </w:pPr>
      <w:r w:rsidRPr="00ED4A76">
        <w:rPr>
          <w:rFonts w:ascii="Times New Roman" w:hAnsi="Times New Roman"/>
          <w:color w:val="000000"/>
          <w:sz w:val="24"/>
          <w:lang w:val="cs-CZ"/>
        </w:rPr>
        <w:t>podat sociálnímu pracovníkovi</w:t>
      </w:r>
      <w:r w:rsidRPr="00ED4A76">
        <w:rPr>
          <w:rFonts w:ascii="Times New Roman" w:hAnsi="Times New Roman"/>
          <w:sz w:val="24"/>
          <w:lang w:val="cs-CZ"/>
        </w:rPr>
        <w:t xml:space="preserve"> nebo řediteli,</w:t>
      </w:r>
    </w:p>
    <w:p w14:paraId="5A70995F" w14:textId="77777777" w:rsidR="00ED4A76" w:rsidRPr="00ED4A76" w:rsidRDefault="00ED4A76" w:rsidP="00ED4A76">
      <w:pPr>
        <w:pStyle w:val="Odstavecseseznamem"/>
        <w:numPr>
          <w:ilvl w:val="0"/>
          <w:numId w:val="2"/>
        </w:numPr>
        <w:spacing w:before="240" w:after="5" w:line="302" w:lineRule="auto"/>
        <w:ind w:right="4"/>
        <w:jc w:val="both"/>
        <w:rPr>
          <w:rFonts w:ascii="Times New Roman" w:hAnsi="Times New Roman"/>
          <w:color w:val="000000"/>
          <w:sz w:val="24"/>
          <w:lang w:val="cs-CZ"/>
        </w:rPr>
      </w:pPr>
      <w:r w:rsidRPr="00ED4A76">
        <w:rPr>
          <w:rFonts w:ascii="Times New Roman" w:hAnsi="Times New Roman"/>
          <w:color w:val="000000"/>
          <w:sz w:val="24"/>
          <w:lang w:val="cs-CZ"/>
        </w:rPr>
        <w:t>vhodit do schránky stížností a podnětů, které jsou na každém patře,</w:t>
      </w:r>
    </w:p>
    <w:p w14:paraId="2CB8B4F1" w14:textId="77777777" w:rsidR="00ED4A76" w:rsidRPr="00ED4A76" w:rsidRDefault="00ED4A76" w:rsidP="00ED4A76">
      <w:pPr>
        <w:pStyle w:val="Odstavecseseznamem"/>
        <w:numPr>
          <w:ilvl w:val="0"/>
          <w:numId w:val="2"/>
        </w:numPr>
        <w:spacing w:before="100" w:beforeAutospacing="1" w:after="5" w:line="302" w:lineRule="auto"/>
        <w:ind w:right="4"/>
        <w:jc w:val="both"/>
        <w:rPr>
          <w:rFonts w:ascii="Times New Roman" w:hAnsi="Times New Roman"/>
          <w:color w:val="000000"/>
          <w:sz w:val="24"/>
          <w:lang w:val="cs-CZ"/>
        </w:rPr>
      </w:pPr>
      <w:r w:rsidRPr="00ED4A76">
        <w:rPr>
          <w:rFonts w:ascii="Times New Roman" w:hAnsi="Times New Roman"/>
          <w:color w:val="000000"/>
          <w:sz w:val="24"/>
          <w:lang w:val="cs-CZ"/>
        </w:rPr>
        <w:t xml:space="preserve">zaslat na adresu: </w:t>
      </w:r>
    </w:p>
    <w:p w14:paraId="45025CD0" w14:textId="4F781637" w:rsidR="00ED4A76" w:rsidRPr="00ED4A76" w:rsidRDefault="00ED4A76" w:rsidP="00ED4A76">
      <w:pPr>
        <w:pStyle w:val="Odstavecseseznamem"/>
        <w:spacing w:before="100" w:beforeAutospacing="1"/>
        <w:ind w:left="790"/>
        <w:rPr>
          <w:rFonts w:ascii="Times New Roman" w:hAnsi="Times New Roman"/>
          <w:color w:val="000000"/>
          <w:sz w:val="24"/>
          <w:lang w:val="cs-CZ"/>
        </w:rPr>
      </w:pPr>
      <w:r w:rsidRPr="00ED4A76">
        <w:rPr>
          <w:rFonts w:ascii="Times New Roman" w:hAnsi="Times New Roman"/>
          <w:color w:val="000000"/>
          <w:sz w:val="24"/>
          <w:lang w:val="cs-CZ"/>
        </w:rPr>
        <w:t>GERIMED a.s., Vítkovo náměstí 3, 257 91 Sedlec – Prčice</w:t>
      </w:r>
    </w:p>
    <w:p w14:paraId="06AF7A8C" w14:textId="77777777" w:rsidR="00ED4A76" w:rsidRPr="00ED4A76" w:rsidRDefault="00ED4A76" w:rsidP="00ED4A76">
      <w:pPr>
        <w:pStyle w:val="Odstavecseseznamem"/>
        <w:numPr>
          <w:ilvl w:val="0"/>
          <w:numId w:val="2"/>
        </w:numPr>
        <w:spacing w:before="100" w:beforeAutospacing="1"/>
        <w:ind w:left="709" w:hanging="283"/>
        <w:rPr>
          <w:rFonts w:ascii="Times New Roman" w:hAnsi="Times New Roman"/>
          <w:color w:val="000000"/>
          <w:sz w:val="24"/>
          <w:lang w:val="cs-CZ"/>
        </w:rPr>
      </w:pPr>
      <w:r w:rsidRPr="00ED4A76">
        <w:rPr>
          <w:rFonts w:ascii="Times New Roman" w:hAnsi="Times New Roman"/>
          <w:color w:val="000000"/>
          <w:sz w:val="24"/>
          <w:lang w:val="cs-CZ"/>
        </w:rPr>
        <w:t>zaslat na email:</w:t>
      </w:r>
    </w:p>
    <w:p w14:paraId="48B51868" w14:textId="303EAD07" w:rsidR="00ED4A76" w:rsidRPr="00ED4A76" w:rsidRDefault="003A7486" w:rsidP="00ED4A76">
      <w:pPr>
        <w:spacing w:before="0" w:line="300" w:lineRule="auto"/>
        <w:ind w:left="851"/>
        <w:rPr>
          <w:rFonts w:ascii="Times New Roman" w:hAnsi="Times New Roman"/>
          <w:color w:val="000000"/>
          <w:sz w:val="24"/>
        </w:rPr>
      </w:pPr>
      <w:hyperlink r:id="rId7" w:history="1">
        <w:r w:rsidR="00ED4A76" w:rsidRPr="00ED4A76">
          <w:rPr>
            <w:rStyle w:val="Hypertextovodkaz"/>
            <w:rFonts w:ascii="Times New Roman" w:hAnsi="Times New Roman"/>
            <w:sz w:val="24"/>
          </w:rPr>
          <w:t>romana.hrazankova@ahc.cz</w:t>
        </w:r>
      </w:hyperlink>
      <w:r w:rsidR="00ED4A76" w:rsidRPr="00ED4A76">
        <w:rPr>
          <w:rFonts w:ascii="Times New Roman" w:hAnsi="Times New Roman"/>
          <w:sz w:val="24"/>
        </w:rPr>
        <w:t xml:space="preserve"> </w:t>
      </w:r>
      <w:r w:rsidR="00ED4A76" w:rsidRPr="00ED4A76">
        <w:rPr>
          <w:rFonts w:ascii="Times New Roman" w:hAnsi="Times New Roman"/>
          <w:color w:val="000000"/>
          <w:sz w:val="24"/>
        </w:rPr>
        <w:t xml:space="preserve">– Bc. Romana Hrazánková, ředitelka </w:t>
      </w:r>
      <w:hyperlink r:id="rId8" w:history="1">
        <w:r w:rsidR="00ED4A76" w:rsidRPr="00CB2A3F">
          <w:rPr>
            <w:rStyle w:val="Hypertextovodkaz"/>
            <w:rFonts w:ascii="Times New Roman" w:hAnsi="Times New Roman"/>
            <w:sz w:val="24"/>
          </w:rPr>
          <w:t>veronika.lundakova@ahc.cz</w:t>
        </w:r>
      </w:hyperlink>
      <w:r w:rsidR="00ED4A76">
        <w:rPr>
          <w:rFonts w:ascii="Times New Roman" w:hAnsi="Times New Roman"/>
          <w:sz w:val="24"/>
        </w:rPr>
        <w:t xml:space="preserve"> </w:t>
      </w:r>
      <w:r w:rsidR="00ED4A76" w:rsidRPr="00ED4A76">
        <w:rPr>
          <w:rFonts w:ascii="Times New Roman" w:hAnsi="Times New Roman"/>
          <w:color w:val="000000"/>
          <w:sz w:val="24"/>
        </w:rPr>
        <w:t xml:space="preserve"> – Veronika Lundáková, DiS., sociální pracovnice</w:t>
      </w:r>
    </w:p>
    <w:p w14:paraId="66762359" w14:textId="23DB377B" w:rsidR="00ED4A76" w:rsidRPr="00ED4A76" w:rsidRDefault="003A7486" w:rsidP="00ED4A76">
      <w:pPr>
        <w:spacing w:before="0" w:line="300" w:lineRule="auto"/>
        <w:ind w:left="851"/>
        <w:rPr>
          <w:rFonts w:ascii="Times New Roman" w:hAnsi="Times New Roman"/>
          <w:color w:val="000000"/>
          <w:sz w:val="24"/>
        </w:rPr>
      </w:pPr>
      <w:hyperlink r:id="rId9" w:history="1">
        <w:r w:rsidR="00ED4A76">
          <w:rPr>
            <w:rStyle w:val="Hypertextovodkaz"/>
            <w:rFonts w:ascii="Times New Roman" w:hAnsi="Times New Roman"/>
            <w:sz w:val="24"/>
          </w:rPr>
          <w:t>veronika.pistekova@ahc.cz</w:t>
        </w:r>
      </w:hyperlink>
      <w:r w:rsidR="00ED4A76">
        <w:rPr>
          <w:rFonts w:ascii="Times New Roman" w:hAnsi="Times New Roman"/>
          <w:sz w:val="24"/>
        </w:rPr>
        <w:t xml:space="preserve"> </w:t>
      </w:r>
      <w:r w:rsidR="00ED4A76" w:rsidRPr="00ED4A76">
        <w:rPr>
          <w:rFonts w:ascii="Times New Roman" w:hAnsi="Times New Roman"/>
          <w:color w:val="000000"/>
          <w:sz w:val="24"/>
        </w:rPr>
        <w:t xml:space="preserve"> – Veronika Pištěková, sociální pracovnice</w:t>
      </w:r>
    </w:p>
    <w:p w14:paraId="5D36F7CE" w14:textId="77777777" w:rsidR="00ED4A76" w:rsidRPr="00ED4A76" w:rsidRDefault="00ED4A76" w:rsidP="00ED4A76">
      <w:pPr>
        <w:pStyle w:val="Odstavecseseznamem"/>
        <w:spacing w:line="300" w:lineRule="auto"/>
        <w:ind w:left="790"/>
        <w:rPr>
          <w:rFonts w:ascii="Times New Roman" w:hAnsi="Times New Roman"/>
          <w:color w:val="000000"/>
          <w:sz w:val="24"/>
          <w:highlight w:val="yellow"/>
          <w:lang w:val="cs-CZ"/>
        </w:rPr>
      </w:pPr>
    </w:p>
    <w:p w14:paraId="20CD77F3" w14:textId="77777777" w:rsidR="00ED4A76" w:rsidRPr="00ED4A76" w:rsidRDefault="00ED4A76" w:rsidP="00ED4A76">
      <w:pPr>
        <w:spacing w:before="240"/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 xml:space="preserve">Podání stížnosti </w:t>
      </w:r>
      <w:r w:rsidRPr="00ED4A76">
        <w:rPr>
          <w:rFonts w:ascii="Times New Roman" w:hAnsi="Times New Roman"/>
          <w:sz w:val="24"/>
        </w:rPr>
        <w:t xml:space="preserve">nesmí způsobit ohrožení nebo poškození práv či zájmů osobě, která stížnost podala. </w:t>
      </w:r>
    </w:p>
    <w:p w14:paraId="057F5E27" w14:textId="77777777" w:rsidR="00ED4A76" w:rsidRPr="00ED4A76" w:rsidRDefault="00ED4A76" w:rsidP="00ED4A76">
      <w:pPr>
        <w:spacing w:before="120"/>
        <w:ind w:left="0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 xml:space="preserve">Stížnosti je oprávněný řešit </w:t>
      </w:r>
      <w:r w:rsidRPr="00ED4A76">
        <w:rPr>
          <w:rFonts w:ascii="Times New Roman" w:hAnsi="Times New Roman"/>
          <w:sz w:val="24"/>
        </w:rPr>
        <w:t>ředitel. Je-li stížnost směrována proti řediteli, předá jí k projednání regionálnímu řediteli.</w:t>
      </w:r>
    </w:p>
    <w:p w14:paraId="024BAC7A" w14:textId="77777777" w:rsidR="00ED4A76" w:rsidRPr="00ED4A76" w:rsidRDefault="00ED4A76" w:rsidP="00ED4A76">
      <w:pPr>
        <w:spacing w:before="120"/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Je-li to potřebné, projedná se stížnost se stěžovatelem a osobami, proti kterým stížnost směřuje, osobně.</w:t>
      </w:r>
    </w:p>
    <w:p w14:paraId="2C24818A" w14:textId="77777777" w:rsidR="00ED4A76" w:rsidRPr="00ED4A76" w:rsidRDefault="00ED4A76" w:rsidP="00ED4A76">
      <w:pPr>
        <w:spacing w:before="120"/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Závěrem řešení stížnosti může být sdělení, že je stížnost oprávněná, neoprávněná</w:t>
      </w:r>
      <w:r w:rsidRPr="00ED4A76">
        <w:rPr>
          <w:rFonts w:ascii="Times New Roman" w:hAnsi="Times New Roman"/>
          <w:sz w:val="24"/>
        </w:rPr>
        <w:t xml:space="preserve"> nebo nebylo možné rozhodnout o oprávněnosti.</w:t>
      </w:r>
    </w:p>
    <w:p w14:paraId="0F8A4DF9" w14:textId="77777777" w:rsidR="00ED4A76" w:rsidRPr="00ED4A76" w:rsidRDefault="00ED4A76" w:rsidP="00ED4A76">
      <w:pPr>
        <w:spacing w:before="120" w:after="120"/>
        <w:ind w:left="0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 xml:space="preserve">O vyřízení stížnosti obdrží stěžovatel písemnou odpověď. Je-li stížnost oprávněná, je stěžovateli sdělena </w:t>
      </w:r>
      <w:r w:rsidRPr="00ED4A76">
        <w:rPr>
          <w:rFonts w:ascii="Times New Roman" w:hAnsi="Times New Roman"/>
          <w:sz w:val="24"/>
        </w:rPr>
        <w:t xml:space="preserve">omluva a způsob provedení nápravy. </w:t>
      </w:r>
    </w:p>
    <w:p w14:paraId="47DE14D6" w14:textId="77777777" w:rsidR="00ED4A76" w:rsidRPr="00ED4A76" w:rsidRDefault="00ED4A76" w:rsidP="00ED4A76">
      <w:pPr>
        <w:spacing w:after="120" w:line="300" w:lineRule="auto"/>
        <w:ind w:left="0" w:right="6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sz w:val="24"/>
        </w:rPr>
        <w:t xml:space="preserve">Odpověď na stížnost může být stěžovateli předána osobně proti podpisu. Není-li schopen se podepsat, podepíše převzetí svědek. Dále může být odpověď zaslána na dodejku do vlastních rukou. Odpověď na anonymní stížnost bude vyvěšena na informační tabuli v zařízení tak, aby byla dostupná klientům, pracovníkům i návštěvám. </w:t>
      </w:r>
    </w:p>
    <w:p w14:paraId="2DD2253E" w14:textId="77777777" w:rsidR="00ED4A76" w:rsidRPr="00ED4A76" w:rsidRDefault="00ED4A76" w:rsidP="00ED4A76">
      <w:pPr>
        <w:spacing w:after="120" w:line="300" w:lineRule="auto"/>
        <w:ind w:left="0" w:right="6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sz w:val="24"/>
        </w:rPr>
        <w:t>O řešení podnětu se obvykle nezasílá odpověď. Podnět je možné projednat na společných setkáních s klienty nebo na poradách se zaměstnanci.</w:t>
      </w:r>
    </w:p>
    <w:p w14:paraId="71EB8AA5" w14:textId="77777777" w:rsidR="00ED4A76" w:rsidRPr="00ED4A76" w:rsidRDefault="00ED4A76" w:rsidP="00ED4A76">
      <w:pPr>
        <w:spacing w:before="120"/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Stížnost musí být vyřízena do 30 dnů od zaevidování stížnosti. V případě prodloužení lhůty k vyřízení musí být stěžovatel písemně informován o důvodech.</w:t>
      </w:r>
    </w:p>
    <w:p w14:paraId="7432D4F3" w14:textId="77777777" w:rsidR="00ED4A76" w:rsidRPr="00ED4A76" w:rsidRDefault="00ED4A76" w:rsidP="00ED4A76">
      <w:pPr>
        <w:pStyle w:val="Nadpis1"/>
        <w:numPr>
          <w:ilvl w:val="0"/>
          <w:numId w:val="0"/>
        </w:numPr>
        <w:shd w:val="clear" w:color="auto" w:fill="E2EFD9"/>
        <w:spacing w:after="240"/>
        <w:ind w:left="-6"/>
        <w:rPr>
          <w:rFonts w:ascii="Times New Roman" w:hAnsi="Times New Roman" w:cs="Times New Roman"/>
          <w:sz w:val="24"/>
          <w:szCs w:val="24"/>
        </w:rPr>
      </w:pPr>
      <w:bookmarkStart w:id="8" w:name="_Toc90556779"/>
      <w:bookmarkStart w:id="9" w:name="_Toc90556882"/>
      <w:r w:rsidRPr="00ED4A76">
        <w:rPr>
          <w:rFonts w:ascii="Times New Roman" w:hAnsi="Times New Roman" w:cs="Times New Roman"/>
          <w:sz w:val="24"/>
          <w:szCs w:val="24"/>
        </w:rPr>
        <w:lastRenderedPageBreak/>
        <w:t>Opakovaná stížnost</w:t>
      </w:r>
      <w:bookmarkEnd w:id="8"/>
      <w:bookmarkEnd w:id="9"/>
    </w:p>
    <w:p w14:paraId="5D20559A" w14:textId="77777777" w:rsidR="00ED4A76" w:rsidRPr="00ED4A76" w:rsidRDefault="00ED4A76" w:rsidP="00ED4A76">
      <w:pPr>
        <w:spacing w:after="240" w:line="300" w:lineRule="auto"/>
        <w:ind w:left="21" w:right="6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sz w:val="24"/>
        </w:rPr>
        <w:t>Pokud podá stěžovatel opakovanou stížnost se stejnými informacemi, bude mu sděleno, že se taková stížnost neprojedná a bude bez odpovědi.</w:t>
      </w:r>
    </w:p>
    <w:p w14:paraId="3C80E15E" w14:textId="77777777" w:rsidR="00ED4A76" w:rsidRPr="00ED4A76" w:rsidRDefault="00ED4A76" w:rsidP="00ED4A76">
      <w:pPr>
        <w:pStyle w:val="Nadpis1"/>
        <w:numPr>
          <w:ilvl w:val="0"/>
          <w:numId w:val="0"/>
        </w:numPr>
        <w:shd w:val="clear" w:color="auto" w:fill="E2EFD9"/>
        <w:spacing w:after="240"/>
        <w:ind w:left="-6"/>
        <w:rPr>
          <w:rFonts w:ascii="Times New Roman" w:hAnsi="Times New Roman" w:cs="Times New Roman"/>
          <w:sz w:val="24"/>
          <w:szCs w:val="24"/>
        </w:rPr>
      </w:pPr>
      <w:bookmarkStart w:id="10" w:name="_Toc90556780"/>
      <w:bookmarkStart w:id="11" w:name="_Toc90556883"/>
      <w:r w:rsidRPr="00ED4A76">
        <w:rPr>
          <w:rFonts w:ascii="Times New Roman" w:hAnsi="Times New Roman" w:cs="Times New Roman"/>
          <w:sz w:val="24"/>
          <w:szCs w:val="24"/>
        </w:rPr>
        <w:t>Klient, který potřebuje pomoc se stížností</w:t>
      </w:r>
      <w:bookmarkEnd w:id="10"/>
      <w:bookmarkEnd w:id="11"/>
    </w:p>
    <w:p w14:paraId="3752A69F" w14:textId="77777777" w:rsidR="00ED4A76" w:rsidRPr="00ED4A76" w:rsidRDefault="00ED4A76" w:rsidP="00ED4A76">
      <w:pPr>
        <w:pStyle w:val="Textvbloku"/>
        <w:rPr>
          <w:rFonts w:ascii="Times New Roman" w:hAnsi="Times New Roman" w:cs="Times New Roman"/>
          <w:sz w:val="24"/>
          <w:szCs w:val="24"/>
        </w:rPr>
      </w:pPr>
      <w:r w:rsidRPr="00ED4A76">
        <w:rPr>
          <w:rFonts w:ascii="Times New Roman" w:hAnsi="Times New Roman" w:cs="Times New Roman"/>
          <w:sz w:val="24"/>
          <w:szCs w:val="24"/>
        </w:rPr>
        <w:t xml:space="preserve">Klient, který se nemůže pohybovat, má nárok na pomoc sociálního pracovníka (například napsat stížnost, odnést stížnost k řešení). Má-li klient potíže v komunikaci, vynaloží sociální pracovník maximální úsilí, aby klientovi porozuměl. Klient má nárok na případného tlumočníka, který musí být nezaujatou osobou. </w:t>
      </w:r>
    </w:p>
    <w:p w14:paraId="78CEE292" w14:textId="77777777" w:rsidR="00ED4A76" w:rsidRPr="00ED4A76" w:rsidRDefault="00ED4A76" w:rsidP="00ED4A76">
      <w:pPr>
        <w:pStyle w:val="Nadpis1"/>
        <w:numPr>
          <w:ilvl w:val="0"/>
          <w:numId w:val="0"/>
        </w:numPr>
        <w:shd w:val="clear" w:color="auto" w:fill="E2EFD9"/>
        <w:spacing w:after="240"/>
        <w:ind w:left="-6"/>
        <w:rPr>
          <w:rFonts w:ascii="Times New Roman" w:hAnsi="Times New Roman" w:cs="Times New Roman"/>
          <w:sz w:val="24"/>
          <w:szCs w:val="24"/>
        </w:rPr>
      </w:pPr>
      <w:bookmarkStart w:id="12" w:name="_30j0zll"/>
      <w:bookmarkStart w:id="13" w:name="_Toc90556884"/>
      <w:bookmarkStart w:id="14" w:name="_Toc90556781"/>
      <w:bookmarkEnd w:id="12"/>
      <w:r w:rsidRPr="00ED4A76">
        <w:rPr>
          <w:rFonts w:ascii="Times New Roman" w:hAnsi="Times New Roman" w:cs="Times New Roman"/>
          <w:sz w:val="24"/>
          <w:szCs w:val="24"/>
        </w:rPr>
        <w:t>Nespokojenost s řešením stížnosti</w:t>
      </w:r>
      <w:bookmarkEnd w:id="13"/>
      <w:bookmarkEnd w:id="14"/>
      <w:r w:rsidRPr="00ED4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6FFD0" w14:textId="77777777" w:rsidR="00ED4A76" w:rsidRPr="00ED4A76" w:rsidRDefault="00ED4A76" w:rsidP="00ED4A76">
      <w:pPr>
        <w:pStyle w:val="Zkladntext2"/>
        <w:spacing w:before="240"/>
        <w:jc w:val="both"/>
        <w:rPr>
          <w:rFonts w:ascii="Times New Roman" w:hAnsi="Times New Roman"/>
          <w:sz w:val="24"/>
        </w:rPr>
      </w:pPr>
      <w:r w:rsidRPr="00ED4A76">
        <w:rPr>
          <w:rFonts w:ascii="Times New Roman" w:hAnsi="Times New Roman"/>
          <w:sz w:val="24"/>
        </w:rPr>
        <w:t>Není-li stěžovatel spokojen s řešením stížnosti, může podat podnět na prošetření postupu v tomto pořadí:</w:t>
      </w:r>
    </w:p>
    <w:p w14:paraId="5A20A34E" w14:textId="77777777" w:rsidR="00ED4A76" w:rsidRPr="00ED4A76" w:rsidRDefault="00ED4A76" w:rsidP="00ED4A76">
      <w:pPr>
        <w:pStyle w:val="Odstavecseseznamem"/>
        <w:numPr>
          <w:ilvl w:val="0"/>
          <w:numId w:val="3"/>
        </w:numPr>
        <w:spacing w:after="240" w:line="300" w:lineRule="auto"/>
        <w:jc w:val="both"/>
        <w:rPr>
          <w:rFonts w:ascii="Times New Roman" w:hAnsi="Times New Roman"/>
          <w:bCs/>
          <w:sz w:val="24"/>
          <w:lang w:val="cs-CZ"/>
        </w:rPr>
      </w:pPr>
      <w:r w:rsidRPr="00ED4A76">
        <w:rPr>
          <w:rFonts w:ascii="Times New Roman" w:hAnsi="Times New Roman"/>
          <w:bCs/>
          <w:sz w:val="24"/>
          <w:lang w:val="cs-CZ"/>
        </w:rPr>
        <w:t xml:space="preserve">generální ředitel Ivana </w:t>
      </w:r>
      <w:proofErr w:type="spellStart"/>
      <w:r w:rsidRPr="00ED4A76">
        <w:rPr>
          <w:rFonts w:ascii="Times New Roman" w:hAnsi="Times New Roman"/>
          <w:bCs/>
          <w:sz w:val="24"/>
          <w:lang w:val="cs-CZ"/>
        </w:rPr>
        <w:t>Majerechová</w:t>
      </w:r>
      <w:proofErr w:type="spellEnd"/>
      <w:r w:rsidRPr="00ED4A76">
        <w:rPr>
          <w:rFonts w:ascii="Times New Roman" w:hAnsi="Times New Roman"/>
          <w:bCs/>
          <w:sz w:val="24"/>
          <w:lang w:val="cs-CZ"/>
        </w:rPr>
        <w:t xml:space="preserve">, Budějovická 778/3, Praha 4, telefon </w:t>
      </w:r>
      <w:r w:rsidRPr="00ED4A76">
        <w:rPr>
          <w:rFonts w:ascii="Times New Roman" w:eastAsia="Arial" w:hAnsi="Times New Roman"/>
          <w:color w:val="000000"/>
          <w:sz w:val="24"/>
          <w:lang w:val="cs-CZ" w:eastAsia="cs-CZ"/>
        </w:rPr>
        <w:t>+420 602 364 747</w:t>
      </w:r>
      <w:r w:rsidRPr="00ED4A76">
        <w:rPr>
          <w:rFonts w:ascii="Times New Roman" w:hAnsi="Times New Roman"/>
          <w:bCs/>
          <w:sz w:val="24"/>
          <w:lang w:val="cs-CZ"/>
        </w:rPr>
        <w:t>, email: majerechova@ambeat.cz.</w:t>
      </w:r>
    </w:p>
    <w:p w14:paraId="3125D1E3" w14:textId="77777777" w:rsidR="00ED4A76" w:rsidRPr="00ED4A76" w:rsidRDefault="00ED4A76" w:rsidP="00ED4A76">
      <w:pPr>
        <w:spacing w:after="120" w:line="30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D4A76">
        <w:rPr>
          <w:rFonts w:ascii="Times New Roman" w:hAnsi="Times New Roman"/>
          <w:color w:val="000000"/>
          <w:sz w:val="24"/>
        </w:rPr>
        <w:t>Není-li stěžovatel spokojen i nadále, může se obrátit na tato místa:</w:t>
      </w:r>
    </w:p>
    <w:p w14:paraId="12F1B02F" w14:textId="77777777" w:rsidR="00ED4A76" w:rsidRPr="00ED4A76" w:rsidRDefault="00ED4A76" w:rsidP="00ED4A76">
      <w:pPr>
        <w:pStyle w:val="Odstavecseseznamem"/>
        <w:numPr>
          <w:ilvl w:val="0"/>
          <w:numId w:val="4"/>
        </w:numPr>
        <w:spacing w:before="120" w:after="120" w:line="300" w:lineRule="auto"/>
        <w:ind w:right="6"/>
        <w:jc w:val="both"/>
        <w:rPr>
          <w:rFonts w:ascii="Times New Roman" w:hAnsi="Times New Roman"/>
          <w:sz w:val="24"/>
          <w:lang w:val="cs-CZ"/>
        </w:rPr>
      </w:pPr>
      <w:r w:rsidRPr="00ED4A76">
        <w:rPr>
          <w:rFonts w:ascii="Times New Roman" w:hAnsi="Times New Roman"/>
          <w:sz w:val="24"/>
          <w:lang w:val="cs-CZ"/>
        </w:rPr>
        <w:t>Ministerstvo práce a sociálních věcí, Odbor sociálních služeb a sociální práce, Na poříčním právu 1, 128 01 Praha 2, tel. +420 221 921 111, e-mail: posta@mpsv.cz,</w:t>
      </w:r>
    </w:p>
    <w:p w14:paraId="5D00AFD3" w14:textId="77777777" w:rsidR="00ED4A76" w:rsidRPr="00ED4A76" w:rsidRDefault="00ED4A76" w:rsidP="00ED4A76">
      <w:pPr>
        <w:pStyle w:val="Odstavecseseznamem"/>
        <w:numPr>
          <w:ilvl w:val="0"/>
          <w:numId w:val="4"/>
        </w:numPr>
        <w:spacing w:after="240" w:line="300" w:lineRule="auto"/>
        <w:ind w:right="6"/>
        <w:jc w:val="both"/>
        <w:rPr>
          <w:rFonts w:ascii="Times New Roman" w:hAnsi="Times New Roman"/>
          <w:sz w:val="24"/>
          <w:lang w:val="cs-CZ"/>
        </w:rPr>
      </w:pPr>
      <w:r w:rsidRPr="00ED4A76">
        <w:rPr>
          <w:rFonts w:ascii="Times New Roman" w:hAnsi="Times New Roman"/>
          <w:sz w:val="24"/>
          <w:lang w:val="cs-CZ"/>
        </w:rPr>
        <w:t>Kancelář veřejného ochránce práv, Údolní 658/39, 602 00 Brno, tel.: +420 542 542 111, email: podatelna@ochrance.cz.</w:t>
      </w:r>
    </w:p>
    <w:p w14:paraId="7E6606B1" w14:textId="77777777" w:rsidR="00ED4A76" w:rsidRPr="00ED4A76" w:rsidRDefault="00ED4A76" w:rsidP="00ED4A76">
      <w:pPr>
        <w:suppressAutoHyphens/>
        <w:spacing w:before="0" w:line="360" w:lineRule="auto"/>
        <w:ind w:left="0"/>
        <w:jc w:val="both"/>
        <w:rPr>
          <w:rFonts w:ascii="Times New Roman" w:hAnsi="Times New Roman"/>
          <w:sz w:val="24"/>
          <w:lang w:eastAsia="ar-SA"/>
        </w:rPr>
      </w:pPr>
    </w:p>
    <w:p w14:paraId="28C30496" w14:textId="77777777" w:rsidR="002F235C" w:rsidRDefault="002F235C"/>
    <w:sectPr w:rsidR="002F235C" w:rsidSect="00ED4A76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33E6" w14:textId="77777777" w:rsidR="00ED4A76" w:rsidRDefault="00ED4A76" w:rsidP="00ED4A76">
      <w:pPr>
        <w:spacing w:before="0"/>
      </w:pPr>
      <w:r>
        <w:separator/>
      </w:r>
    </w:p>
  </w:endnote>
  <w:endnote w:type="continuationSeparator" w:id="0">
    <w:p w14:paraId="6514E5AE" w14:textId="77777777" w:rsidR="00ED4A76" w:rsidRDefault="00ED4A76" w:rsidP="00ED4A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6780" w14:textId="4AD09E2A" w:rsidR="00A20155" w:rsidRDefault="00A20155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09D14" wp14:editId="34A05F75">
          <wp:simplePos x="0" y="0"/>
          <wp:positionH relativeFrom="column">
            <wp:posOffset>-680720</wp:posOffset>
          </wp:positionH>
          <wp:positionV relativeFrom="paragraph">
            <wp:posOffset>130175</wp:posOffset>
          </wp:positionV>
          <wp:extent cx="5760000" cy="284400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5EA7" w14:textId="77777777" w:rsidR="00ED4A76" w:rsidRDefault="00ED4A76" w:rsidP="00ED4A76">
      <w:pPr>
        <w:spacing w:before="0"/>
      </w:pPr>
      <w:r>
        <w:separator/>
      </w:r>
    </w:p>
  </w:footnote>
  <w:footnote w:type="continuationSeparator" w:id="0">
    <w:p w14:paraId="5940F6F1" w14:textId="77777777" w:rsidR="00ED4A76" w:rsidRDefault="00ED4A76" w:rsidP="00ED4A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DD5C" w14:textId="2D89B3F8" w:rsidR="00ED4A76" w:rsidRDefault="00A2015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9F85A" wp14:editId="01EE092B">
          <wp:simplePos x="0" y="0"/>
          <wp:positionH relativeFrom="column">
            <wp:posOffset>5215255</wp:posOffset>
          </wp:positionH>
          <wp:positionV relativeFrom="paragraph">
            <wp:posOffset>-316230</wp:posOffset>
          </wp:positionV>
          <wp:extent cx="1143000" cy="595630"/>
          <wp:effectExtent l="0" t="0" r="0" b="0"/>
          <wp:wrapTight wrapText="bothSides">
            <wp:wrapPolygon edited="0">
              <wp:start x="13320" y="0"/>
              <wp:lineTo x="2520" y="2072"/>
              <wp:lineTo x="0" y="4145"/>
              <wp:lineTo x="0" y="20725"/>
              <wp:lineTo x="13320" y="20725"/>
              <wp:lineTo x="18360" y="20725"/>
              <wp:lineTo x="21240" y="14507"/>
              <wp:lineTo x="21240" y="6908"/>
              <wp:lineTo x="18360" y="0"/>
              <wp:lineTo x="1332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5BE"/>
    <w:multiLevelType w:val="hybridMultilevel"/>
    <w:tmpl w:val="BE9AB11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A2973E3"/>
    <w:multiLevelType w:val="hybridMultilevel"/>
    <w:tmpl w:val="905201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550DC"/>
    <w:multiLevelType w:val="hybridMultilevel"/>
    <w:tmpl w:val="EC6EDDEE"/>
    <w:lvl w:ilvl="0" w:tplc="41B0726A">
      <w:start w:val="1"/>
      <w:numFmt w:val="decimal"/>
      <w:lvlText w:val="%1."/>
      <w:lvlJc w:val="left"/>
      <w:pPr>
        <w:ind w:left="371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6044586F"/>
    <w:multiLevelType w:val="multilevel"/>
    <w:tmpl w:val="0010B4B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4"/>
        </w:tabs>
        <w:ind w:left="714" w:hanging="714"/>
      </w:pPr>
      <w:rPr>
        <w:rFonts w:ascii="Arial" w:hAnsi="Arial" w:cs="Arial" w:hint="default"/>
        <w:b/>
        <w:bCs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lowerLetter"/>
      <w:pStyle w:val="NormalNumbered"/>
      <w:lvlText w:val="(%3)"/>
      <w:lvlJc w:val="left"/>
      <w:pPr>
        <w:tabs>
          <w:tab w:val="num" w:pos="925"/>
        </w:tabs>
        <w:ind w:left="925" w:hanging="358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Roman"/>
      <w:pStyle w:val="NormalIndentNumbered"/>
      <w:lvlText w:val="(%4)"/>
      <w:lvlJc w:val="left"/>
      <w:pPr>
        <w:tabs>
          <w:tab w:val="num" w:pos="1418"/>
        </w:tabs>
        <w:ind w:left="1418" w:hanging="346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12"/>
        </w:tabs>
        <w:ind w:left="5674" w:hanging="708"/>
      </w:pPr>
    </w:lvl>
    <w:lvl w:ilvl="5">
      <w:start w:val="1"/>
      <w:numFmt w:val="decimal"/>
      <w:lvlText w:val="%1.%2.%3.%4.%5.%6."/>
      <w:lvlJc w:val="left"/>
      <w:pPr>
        <w:tabs>
          <w:tab w:val="num" w:pos="712"/>
        </w:tabs>
        <w:ind w:left="6241" w:hanging="708"/>
      </w:pPr>
    </w:lvl>
    <w:lvl w:ilvl="6">
      <w:start w:val="1"/>
      <w:numFmt w:val="decimal"/>
      <w:lvlText w:val="%1.%2.%3.%4.%5.%6.%7."/>
      <w:lvlJc w:val="left"/>
      <w:pPr>
        <w:tabs>
          <w:tab w:val="num" w:pos="712"/>
        </w:tabs>
        <w:ind w:left="566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637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12"/>
        </w:tabs>
        <w:ind w:left="7084" w:hanging="708"/>
      </w:pPr>
    </w:lvl>
  </w:abstractNum>
  <w:num w:numId="1" w16cid:durableId="1305702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431528">
    <w:abstractNumId w:val="0"/>
  </w:num>
  <w:num w:numId="3" w16cid:durableId="68307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337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76"/>
    <w:rsid w:val="002F235C"/>
    <w:rsid w:val="00A20155"/>
    <w:rsid w:val="00E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4E18C"/>
  <w15:chartTrackingRefBased/>
  <w15:docId w15:val="{3FDAAECC-3FAC-4FE2-AE91-9E640AF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A76"/>
    <w:pPr>
      <w:spacing w:before="80" w:after="0" w:line="240" w:lineRule="auto"/>
      <w:ind w:left="714"/>
    </w:pPr>
    <w:rPr>
      <w:rFonts w:ascii="Arial" w:eastAsia="Times New Roman" w:hAnsi="Arial" w:cs="Times New Roman"/>
      <w:sz w:val="20"/>
      <w:szCs w:val="24"/>
    </w:rPr>
  </w:style>
  <w:style w:type="paragraph" w:styleId="Nadpis1">
    <w:name w:val="heading 1"/>
    <w:next w:val="Nadpis2"/>
    <w:link w:val="Nadpis1Char"/>
    <w:qFormat/>
    <w:rsid w:val="00ED4A76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Nadpis2">
    <w:name w:val="heading 2"/>
    <w:basedOn w:val="Nadpis1"/>
    <w:link w:val="Nadpis2Char"/>
    <w:semiHidden/>
    <w:unhideWhenUsed/>
    <w:qFormat/>
    <w:rsid w:val="00ED4A76"/>
    <w:pPr>
      <w:keepNext w:val="0"/>
      <w:numPr>
        <w:ilvl w:val="1"/>
      </w:numPr>
      <w:spacing w:before="140" w:after="0"/>
      <w:outlineLvl w:val="1"/>
    </w:pPr>
    <w:rPr>
      <w:b w:val="0"/>
      <w:bCs w:val="0"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A76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ED4A76"/>
    <w:rPr>
      <w:rFonts w:ascii="Arial" w:eastAsia="Times New Roman" w:hAnsi="Arial" w:cs="Arial"/>
      <w:iCs/>
      <w:kern w:val="32"/>
      <w:sz w:val="20"/>
      <w:szCs w:val="28"/>
    </w:rPr>
  </w:style>
  <w:style w:type="character" w:styleId="Hypertextovodkaz">
    <w:name w:val="Hyperlink"/>
    <w:basedOn w:val="Standardnpsmoodstavce"/>
    <w:uiPriority w:val="99"/>
    <w:unhideWhenUsed/>
    <w:rsid w:val="00ED4A76"/>
    <w:rPr>
      <w:color w:val="0000FF"/>
      <w:u w:val="single"/>
    </w:rPr>
  </w:style>
  <w:style w:type="paragraph" w:styleId="Zkladntext">
    <w:name w:val="Body Text"/>
    <w:link w:val="ZkladntextChar"/>
    <w:semiHidden/>
    <w:unhideWhenUsed/>
    <w:rsid w:val="00ED4A76"/>
    <w:pPr>
      <w:tabs>
        <w:tab w:val="left" w:pos="5103"/>
      </w:tabs>
      <w:spacing w:before="120" w:after="40" w:line="240" w:lineRule="auto"/>
    </w:pPr>
    <w:rPr>
      <w:rFonts w:ascii="Arial" w:eastAsia="Times New Roman" w:hAnsi="Arial" w:cs="Times New Roman"/>
      <w:b/>
      <w:color w:val="333399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D4A76"/>
    <w:rPr>
      <w:rFonts w:ascii="Arial" w:eastAsia="Times New Roman" w:hAnsi="Arial" w:cs="Times New Roman"/>
      <w:b/>
      <w:color w:val="333399"/>
      <w:sz w:val="24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ED4A76"/>
    <w:pPr>
      <w:tabs>
        <w:tab w:val="left" w:pos="2268"/>
      </w:tabs>
      <w:spacing w:before="120"/>
      <w:ind w:left="0"/>
    </w:pPr>
  </w:style>
  <w:style w:type="character" w:customStyle="1" w:styleId="Zkladntext2Char">
    <w:name w:val="Základní text 2 Char"/>
    <w:basedOn w:val="Standardnpsmoodstavce"/>
    <w:link w:val="Zkladntext2"/>
    <w:semiHidden/>
    <w:rsid w:val="00ED4A76"/>
    <w:rPr>
      <w:rFonts w:ascii="Arial" w:eastAsia="Times New Roman" w:hAnsi="Arial" w:cs="Times New Roman"/>
      <w:sz w:val="20"/>
      <w:szCs w:val="24"/>
    </w:rPr>
  </w:style>
  <w:style w:type="paragraph" w:styleId="Textvbloku">
    <w:name w:val="Block Text"/>
    <w:basedOn w:val="Normln"/>
    <w:uiPriority w:val="99"/>
    <w:semiHidden/>
    <w:unhideWhenUsed/>
    <w:rsid w:val="00ED4A76"/>
    <w:pPr>
      <w:spacing w:before="0" w:after="240" w:line="300" w:lineRule="auto"/>
      <w:ind w:left="18" w:right="6"/>
      <w:jc w:val="both"/>
    </w:pPr>
    <w:rPr>
      <w:rFonts w:eastAsia="Arial" w:cs="Arial"/>
      <w:sz w:val="22"/>
      <w:szCs w:val="22"/>
      <w:lang w:eastAsia="cs-CZ"/>
    </w:rPr>
  </w:style>
  <w:style w:type="paragraph" w:styleId="Odstavecseseznamem">
    <w:name w:val="List Paragraph"/>
    <w:basedOn w:val="Normln"/>
    <w:qFormat/>
    <w:rsid w:val="00ED4A76"/>
    <w:pPr>
      <w:spacing w:before="0"/>
      <w:ind w:left="720"/>
      <w:contextualSpacing/>
    </w:pPr>
    <w:rPr>
      <w:sz w:val="19"/>
      <w:lang w:val="en-US"/>
    </w:rPr>
  </w:style>
  <w:style w:type="paragraph" w:customStyle="1" w:styleId="NormalNumbered">
    <w:name w:val="Normal Numbered"/>
    <w:basedOn w:val="Normln"/>
    <w:rsid w:val="00ED4A76"/>
    <w:pPr>
      <w:numPr>
        <w:ilvl w:val="2"/>
        <w:numId w:val="1"/>
      </w:numPr>
      <w:spacing w:before="60"/>
    </w:pPr>
  </w:style>
  <w:style w:type="paragraph" w:customStyle="1" w:styleId="NormalIndentNumbered">
    <w:name w:val="Normal Indent Numbered"/>
    <w:basedOn w:val="Normlnodsazen"/>
    <w:rsid w:val="00ED4A76"/>
    <w:pPr>
      <w:numPr>
        <w:ilvl w:val="3"/>
        <w:numId w:val="1"/>
      </w:numPr>
      <w:tabs>
        <w:tab w:val="clear" w:pos="1418"/>
        <w:tab w:val="num" w:pos="360"/>
      </w:tabs>
      <w:spacing w:before="20"/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ED4A76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ED4A7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4A7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D4A76"/>
    <w:rPr>
      <w:rFonts w:ascii="Arial" w:eastAsia="Times New Roman" w:hAnsi="Arial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ED4A7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D4A7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lundakova@ah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.hrazankova@ah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stekova@gerime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Lundáková</dc:creator>
  <cp:keywords/>
  <dc:description/>
  <cp:lastModifiedBy>Veronika Lundáková</cp:lastModifiedBy>
  <cp:revision>2</cp:revision>
  <cp:lastPrinted>2022-05-31T07:25:00Z</cp:lastPrinted>
  <dcterms:created xsi:type="dcterms:W3CDTF">2022-05-31T08:03:00Z</dcterms:created>
  <dcterms:modified xsi:type="dcterms:W3CDTF">2022-05-31T08:03:00Z</dcterms:modified>
</cp:coreProperties>
</file>