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76" w:before="0" w:after="120"/>
        <w:jc w:val="center"/>
        <w:rPr>
          <w:rFonts w:ascii="Arial" w:hAnsi="Arial" w:eastAsia="Arial" w:cs="Arial"/>
          <w:b/>
          <w:b/>
          <w:smallCaps/>
          <w:color w:val="000000"/>
          <w:sz w:val="24"/>
          <w:szCs w:val="24"/>
        </w:rPr>
      </w:pPr>
      <w:r>
        <w:rPr>
          <w:rFonts w:eastAsia="Arial" w:cs="Arial" w:ascii="Arial" w:hAnsi="Arial"/>
          <w:b/>
          <w:smallCaps/>
          <w:color w:val="000000"/>
          <w:sz w:val="24"/>
          <w:szCs w:val="24"/>
        </w:rPr>
        <w:t xml:space="preserve">SMLOUVA O POSKYTNUTÍ SOCIÁLNÍ SLUŽBY </w:t>
      </w:r>
      <w:r>
        <w:rPr>
          <w:rFonts w:eastAsia="Arial" w:cs="Arial" w:ascii="Arial" w:hAnsi="Arial"/>
          <w:b/>
          <w:color w:val="000000"/>
          <w:sz w:val="24"/>
          <w:szCs w:val="24"/>
        </w:rPr>
        <w:t>č</w:t>
      </w:r>
      <w:r>
        <w:rPr>
          <w:rFonts w:eastAsia="Arial" w:cs="Arial" w:ascii="Arial" w:hAnsi="Arial"/>
          <w:b/>
          <w:smallCaps/>
          <w:color w:val="000000"/>
          <w:sz w:val="24"/>
          <w:szCs w:val="24"/>
        </w:rPr>
        <w:t xml:space="preserve">. </w:t>
      </w:r>
    </w:p>
    <w:p>
      <w:pPr>
        <w:pStyle w:val="Normal"/>
        <w:widowControl w:val="false"/>
        <w:spacing w:lineRule="auto" w:line="276" w:before="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TUTO SMLOUVU O POSKYTNUTÍ SOCIÁLNÍ SLUŽBY </w:t>
      </w:r>
      <w:r>
        <w:rPr>
          <w:rFonts w:eastAsia="Arial" w:cs="Arial" w:ascii="Arial" w:hAnsi="Arial"/>
          <w:sz w:val="20"/>
          <w:szCs w:val="20"/>
        </w:rPr>
        <w:t>(dále jen „</w:t>
      </w:r>
      <w:r>
        <w:rPr>
          <w:rFonts w:eastAsia="Arial" w:cs="Arial" w:ascii="Arial" w:hAnsi="Arial"/>
          <w:b/>
          <w:sz w:val="20"/>
          <w:szCs w:val="20"/>
        </w:rPr>
        <w:t>Smlouva</w:t>
      </w:r>
      <w:r>
        <w:rPr>
          <w:rFonts w:eastAsia="Arial" w:cs="Arial" w:ascii="Arial" w:hAnsi="Arial"/>
          <w:sz w:val="20"/>
          <w:szCs w:val="20"/>
        </w:rPr>
        <w:t>“)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uzavírají podle ustanovení § 44 a § 91 a násl. zákona č. 108/2006 Sb., o sociálních službách (dále jen „</w:t>
      </w:r>
      <w:r>
        <w:rPr>
          <w:rFonts w:eastAsia="Arial" w:cs="Arial" w:ascii="Arial" w:hAnsi="Arial"/>
          <w:b/>
          <w:sz w:val="20"/>
          <w:szCs w:val="20"/>
        </w:rPr>
        <w:t>zákon o sociálních službách</w:t>
      </w:r>
      <w:r>
        <w:rPr>
          <w:rFonts w:eastAsia="Arial" w:cs="Arial" w:ascii="Arial" w:hAnsi="Arial"/>
          <w:sz w:val="20"/>
          <w:szCs w:val="20"/>
        </w:rPr>
        <w:t>“), za podmínek dále uvedených: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cs="Arial"/>
          <w:sz w:val="20"/>
          <w:szCs w:val="20"/>
        </w:rPr>
      </w:pPr>
      <w:bookmarkStart w:id="0" w:name="_Hlk97814746"/>
      <w:r>
        <w:rPr>
          <w:rFonts w:cs="Arial" w:ascii="Arial" w:hAnsi="Arial"/>
          <w:sz w:val="20"/>
          <w:szCs w:val="20"/>
        </w:rPr>
        <w:t xml:space="preserve">firma:                                       </w:t>
      </w:r>
      <w:r>
        <w:rPr>
          <w:rFonts w:cs="Arial" w:ascii="Arial" w:hAnsi="Arial"/>
          <w:b/>
          <w:bCs/>
          <w:sz w:val="20"/>
          <w:szCs w:val="20"/>
        </w:rPr>
        <w:t>AHC a.s.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IČO:                                         24160369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 sídlem:                                Budějovická 778/3, 140 00 Praha 4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provozovna:                             B. Egermanna 354, 473 01 Nový Bor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0"/>
        <w:ind w:left="1620" w:hanging="16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zapsaná v:                               OR vedeném u Městského soudu v Praze, oddíl B, vložka 17511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color w:val="000000"/>
        </w:rPr>
      </w:pPr>
      <w:r>
        <w:rPr>
          <w:rFonts w:cs="Arial" w:ascii="Arial" w:hAnsi="Arial"/>
          <w:sz w:val="20"/>
          <w:szCs w:val="20"/>
        </w:rPr>
        <w:t xml:space="preserve">bankovní spojení a číslo účtu: Raiffeisenbank a.s. č. ú. </w:t>
      </w:r>
      <w:r>
        <w:rPr>
          <w:rFonts w:cs="Arial" w:ascii="Arial" w:hAnsi="Arial"/>
          <w:color w:val="000000"/>
          <w:sz w:val="20"/>
          <w:szCs w:val="20"/>
        </w:rPr>
        <w:t>5011264450/5500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cs="Arial"/>
          <w:sz w:val="20"/>
          <w:szCs w:val="20"/>
        </w:rPr>
      </w:pPr>
      <w:bookmarkStart w:id="1" w:name="_Hlk97814746"/>
      <w:r>
        <w:rPr>
          <w:rFonts w:cs="Arial" w:ascii="Arial" w:hAnsi="Arial"/>
          <w:sz w:val="20"/>
          <w:szCs w:val="20"/>
        </w:rPr>
        <w:t>zastoupená:                             Ing. Bc. Janem Sembdnerem na základě plné moci</w:t>
      </w:r>
      <w:bookmarkEnd w:id="1"/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120" w:after="0"/>
        <w:ind w:left="1620" w:hanging="16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(dále jen „</w:t>
      </w:r>
      <w:r>
        <w:rPr>
          <w:rFonts w:eastAsia="Arial" w:cs="Arial" w:ascii="Arial" w:hAnsi="Arial"/>
          <w:b/>
          <w:sz w:val="20"/>
          <w:szCs w:val="20"/>
        </w:rPr>
        <w:t>Poskytovatel</w:t>
      </w:r>
      <w:r>
        <w:rPr>
          <w:rFonts w:eastAsia="Arial" w:cs="Arial" w:ascii="Arial" w:hAnsi="Arial"/>
          <w:sz w:val="20"/>
          <w:szCs w:val="20"/>
        </w:rPr>
        <w:t>“)</w:t>
      </w:r>
    </w:p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a</w:t>
      </w:r>
    </w:p>
    <w:p>
      <w:pPr>
        <w:pStyle w:val="Normal"/>
        <w:spacing w:lineRule="auto" w:line="276" w:before="0" w:after="0"/>
        <w:ind w:left="360" w:hanging="360"/>
        <w:jc w:val="left"/>
        <w:rPr>
          <w:b/>
          <w:b/>
          <w:sz w:val="24"/>
          <w:szCs w:val="24"/>
        </w:rPr>
      </w:pPr>
      <w:r>
        <w:rPr>
          <w:rFonts w:eastAsia="Arial" w:cs="Arial" w:ascii="Arial" w:hAnsi="Arial"/>
          <w:sz w:val="20"/>
          <w:szCs w:val="20"/>
        </w:rPr>
        <w:t xml:space="preserve">jméno: </w:t>
      </w:r>
    </w:p>
    <w:p>
      <w:pPr>
        <w:pStyle w:val="Normal"/>
        <w:spacing w:lineRule="auto" w:line="276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narozen/a: </w:t>
      </w:r>
    </w:p>
    <w:p>
      <w:pPr>
        <w:pStyle w:val="Normal"/>
        <w:spacing w:lineRule="auto" w:line="276" w:before="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trvale bytem: 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240"/>
        <w:ind w:left="1622" w:hanging="1622"/>
        <w:rPr>
          <w:rFonts w:ascii="Arial" w:hAnsi="Arial" w:eastAsia="Arial" w:cs="Arial"/>
          <w:sz w:val="20"/>
          <w:szCs w:val="20"/>
        </w:rPr>
      </w:pPr>
      <w:bookmarkStart w:id="2" w:name="_gjdgxs"/>
      <w:bookmarkEnd w:id="2"/>
      <w:r>
        <w:rPr>
          <w:rFonts w:eastAsia="Arial" w:cs="Arial" w:ascii="Arial" w:hAnsi="Arial"/>
          <w:sz w:val="20"/>
          <w:szCs w:val="20"/>
        </w:rPr>
        <w:t>(dále jen „</w:t>
      </w:r>
      <w:r>
        <w:rPr>
          <w:rFonts w:eastAsia="Arial" w:cs="Arial" w:ascii="Arial" w:hAnsi="Arial"/>
          <w:b/>
          <w:sz w:val="20"/>
          <w:szCs w:val="20"/>
        </w:rPr>
        <w:t>Klient</w:t>
      </w:r>
      <w:r>
        <w:rPr>
          <w:rFonts w:eastAsia="Arial" w:cs="Arial" w:ascii="Arial" w:hAnsi="Arial"/>
          <w:sz w:val="20"/>
          <w:szCs w:val="20"/>
        </w:rPr>
        <w:t>“)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240"/>
        <w:ind w:left="1622" w:hanging="162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zastoupen: </w:t>
      </w:r>
      <w:r>
        <w:rPr>
          <w:rFonts w:eastAsia="Arial" w:cs="Arial" w:ascii="Arial" w:hAnsi="Arial"/>
          <w:sz w:val="20"/>
          <w:szCs w:val="20"/>
          <w:highlight w:val="yellow"/>
        </w:rPr>
        <w:t>[opatrovník - jméno, příjmení, adresa, rozhodnutí soudu, nebo ORP- jméno, příjmení, obec]</w:t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(Poskytovatel a Klient dále společně jen „</w:t>
      </w:r>
      <w:r>
        <w:rPr>
          <w:rFonts w:eastAsia="Arial" w:cs="Arial" w:ascii="Arial" w:hAnsi="Arial"/>
          <w:b/>
          <w:sz w:val="20"/>
          <w:szCs w:val="20"/>
        </w:rPr>
        <w:t>Smluvní strany</w:t>
      </w:r>
      <w:r>
        <w:rPr>
          <w:rFonts w:eastAsia="Arial" w:cs="Arial" w:ascii="Arial" w:hAnsi="Arial"/>
          <w:sz w:val="20"/>
          <w:szCs w:val="20"/>
        </w:rPr>
        <w:t>“, jednotlivě též jako „</w:t>
      </w:r>
      <w:r>
        <w:rPr>
          <w:rFonts w:eastAsia="Arial" w:cs="Arial" w:ascii="Arial" w:hAnsi="Arial"/>
          <w:b/>
          <w:sz w:val="20"/>
          <w:szCs w:val="20"/>
        </w:rPr>
        <w:t>Smluvní strana</w:t>
      </w:r>
      <w:r>
        <w:rPr>
          <w:rFonts w:eastAsia="Arial" w:cs="Arial" w:ascii="Arial" w:hAnsi="Arial"/>
          <w:sz w:val="20"/>
          <w:szCs w:val="20"/>
        </w:rPr>
        <w:t>“).</w:t>
      </w:r>
    </w:p>
    <w:p>
      <w:pPr>
        <w:pStyle w:val="Normal"/>
        <w:widowControl w:val="false"/>
        <w:pBdr/>
        <w:spacing w:lineRule="auto" w:line="276" w:before="240" w:after="120"/>
        <w:rPr>
          <w:rFonts w:ascii="Arial" w:hAnsi="Arial" w:eastAsia="Arial" w:cs="Arial"/>
          <w:smallCaps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Vzhledem k tomu, že:</w:t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76" w:before="0" w:after="0"/>
        <w:ind w:left="709" w:hanging="709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Poskytovatel je poskytovatelem sociálních služeb, který poskytuje odlehčovací službu v pobytové formě</w:t>
      </w:r>
      <w:r>
        <w:rPr>
          <w:rStyle w:val="Annotationreference"/>
        </w:rPr>
        <w:t>,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a to v předepsaném rozsahu a za podmínek dle závazných předpisů v zařízení Senior centrum Nový Bor (dále jen „</w:t>
      </w:r>
      <w:r>
        <w:rPr>
          <w:rFonts w:eastAsia="Arial" w:cs="Arial" w:ascii="Arial" w:hAnsi="Arial"/>
          <w:b/>
          <w:color w:val="000000"/>
          <w:sz w:val="20"/>
          <w:szCs w:val="20"/>
        </w:rPr>
        <w:t>Zařízení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“); </w:t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76" w:before="0" w:after="0"/>
        <w:ind w:left="709" w:hanging="709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má zájem na poskytnutí odlehčovací služby v Zařízení;</w:t>
      </w:r>
    </w:p>
    <w:p>
      <w:pPr>
        <w:pStyle w:val="Normal"/>
        <w:widowControl w:val="false"/>
        <w:pBdr/>
        <w:spacing w:lineRule="auto" w:line="276" w:before="120" w:after="24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se Smluvní strany dohodly takto:</w:t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PŘEDMĚT SMLOUVY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Předmětem Smlouvy je poskytování odlehčovací sociální služby ze strany Poskytovatele  v Zařízení a využívání sociální služby Klientem.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Smlouva stanovuje podmínky poskytování sociální služby a upravuje vztah mezi Klientem a Poskytovatelem sociální služby a jejich vzájemná práva a povinnosti.</w:t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DRUH SOCIÁLNÍ SLUŽBY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Poskytovatel se zavazuje poskytovat odlehčovací sociální službu v rozsahu dle zákona o sociálních službách.</w:t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ROZSAH POSKYTOVÁNÍ SOCIÁLNÍ SLUŽBY</w:t>
      </w:r>
    </w:p>
    <w:p>
      <w:pPr>
        <w:pStyle w:val="Odsazentlatextu"/>
        <w:pBdr/>
        <w:rPr>
          <w:b/>
          <w:b/>
        </w:rPr>
      </w:pPr>
      <w:r>
        <w:rPr/>
        <w:t xml:space="preserve">Poskytovatel se zavazuje v rámci odlehčovací služby zajistit Klientovi níže uvedené základní činnosti: 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12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Ubytování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67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Ubytování v Zařízení se Klientovi poskytuje </w:t>
      </w:r>
      <w:r>
        <w:rPr>
          <w:rFonts w:eastAsia="Arial" w:cs="Arial" w:ascii="Arial" w:hAnsi="Arial"/>
          <w:i/>
          <w:iCs/>
          <w:color w:val="000000"/>
          <w:sz w:val="20"/>
          <w:szCs w:val="20"/>
          <w:highlight w:val="yellow"/>
        </w:rPr>
        <w:t>upravit dle skutečnosti</w:t>
      </w:r>
      <w:r>
        <w:rPr>
          <w:rFonts w:eastAsia="Arial" w:cs="Arial" w:ascii="Arial" w:hAnsi="Arial"/>
          <w:color w:val="000000"/>
          <w:sz w:val="20"/>
          <w:szCs w:val="20"/>
          <w:highlight w:val="yellow"/>
        </w:rPr>
        <w:t>: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  <w:highlight w:val="yellow"/>
        </w:rPr>
        <w:t>v jednolůžkovém pokoji, jehož součástí je koupelna s WC</w:t>
      </w:r>
      <w:r>
        <w:rPr>
          <w:rFonts w:eastAsia="Arial" w:cs="Arial" w:ascii="Arial" w:hAnsi="Arial"/>
          <w:color w:val="000000"/>
          <w:sz w:val="20"/>
          <w:szCs w:val="20"/>
        </w:rPr>
        <w:t>, a který je vybaven polohovatelným lůžkem, nočním stolkem a skříní.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je v rámci ubytování oprávněn obvyklým způsobem užívat společné prostory Zařízení, přičemž jejich užívání se řídí Domácím řádem, jehož aktuální znění ke dni uzavření této Smlouvy tvoří Přílohu č. 1 této Smlouvy (dále jen „Domácí řád“).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Ubytování zahrnuje úklid, topení, spotřebu elektrické energie, teplé a studené vody, praní, drobné opravy ložního prádla, osobního prádla a ošacení, žehlení.</w:t>
      </w:r>
    </w:p>
    <w:p>
      <w:pPr>
        <w:pStyle w:val="Normal"/>
        <w:numPr>
          <w:ilvl w:val="2"/>
          <w:numId w:val="2"/>
        </w:numPr>
        <w:pBdr/>
        <w:spacing w:lineRule="auto" w:line="276" w:before="60" w:after="0"/>
        <w:ind w:left="1276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Poskytovatel je povinen předat prostory k ubytování ve stavu způsobilém pro řádné užívání a zajistit Klientovi nerušený výkon práv spojených s užíváním těchto prostor. </w:t>
      </w:r>
    </w:p>
    <w:p>
      <w:pPr>
        <w:pStyle w:val="Normal"/>
        <w:numPr>
          <w:ilvl w:val="2"/>
          <w:numId w:val="2"/>
        </w:numPr>
        <w:pBdr/>
        <w:spacing w:lineRule="auto" w:line="276" w:before="0" w:after="60"/>
        <w:ind w:left="1276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Škody způsobené Klientem na majetku Poskytovatele budou hrazeny v plné výši Klientem. Po dohodě Klienta s Poskytovatelem je Klient oprávněn pokoj vybavit vlastím nábytkem a dalším zařízením dle podmínek Domácího řádu.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Klient je povinen přestěhovat se na jiný pokoj nebo do provizorních prostor (a to i mimo Zařízení) na nezbytně nutnou dobu z provozních důvodů (např. malování, stavební úpravy, opravy, karanténa/izolace apod.), z důvodu živelných pohrom a jiných mimořádných událostí (např. požár). 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12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Stravování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Poskytovatel se zavazuje Klientovi v rámci základních činností poskytnout celodenní stravu odpovídající věku, zásadám racionální výživy a potřebám dietního stravování, a to v rozsahu tří hlavních jídel denně a zajišťovat pitný režim.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Stravování probíhá podle Domácího řádu. 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má právo, v souladu s Domácím řádem, z důvodu plánovaného pobytu mimo Zařízení stravu neodebrat.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12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Úkony péče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120" w:after="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Poskytovatel se zavazuje v rámci základních činností zajistit Klientovi, který z důvodu nepříznivého zdravotního stavu nezvládá samostatně základní životní potřeby, podle nichž je posuzována závislost osoby na péči jiné osoby: </w:t>
      </w:r>
    </w:p>
    <w:p>
      <w:pPr>
        <w:pStyle w:val="Normal"/>
        <w:widowControl w:val="false"/>
        <w:numPr>
          <w:ilvl w:val="2"/>
          <w:numId w:val="3"/>
        </w:numPr>
        <w:pBdr/>
        <w:spacing w:lineRule="auto" w:line="276" w:before="60" w:after="60"/>
        <w:ind w:left="1560" w:hanging="42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pomoc při zvládání běžných úkonů péče o vlastní osobu;</w:t>
      </w:r>
    </w:p>
    <w:p>
      <w:pPr>
        <w:pStyle w:val="Normal"/>
        <w:widowControl w:val="false"/>
        <w:numPr>
          <w:ilvl w:val="2"/>
          <w:numId w:val="3"/>
        </w:numPr>
        <w:pBdr/>
        <w:spacing w:lineRule="auto" w:line="276" w:before="60" w:after="60"/>
        <w:ind w:left="1560" w:hanging="42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pomoc při osobní hygieně nebo poskytnutí podmínek pro osobní hygienu;</w:t>
      </w:r>
    </w:p>
    <w:p>
      <w:pPr>
        <w:pStyle w:val="Normal"/>
        <w:widowControl w:val="false"/>
        <w:numPr>
          <w:ilvl w:val="2"/>
          <w:numId w:val="3"/>
        </w:numPr>
        <w:pBdr/>
        <w:spacing w:lineRule="auto" w:line="276" w:before="60" w:after="60"/>
        <w:ind w:left="1560" w:hanging="42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zprostředkování kontaktu se společenským prostředím;</w:t>
      </w:r>
    </w:p>
    <w:p>
      <w:pPr>
        <w:pStyle w:val="Normal"/>
        <w:widowControl w:val="false"/>
        <w:numPr>
          <w:ilvl w:val="2"/>
          <w:numId w:val="3"/>
        </w:numPr>
        <w:pBdr/>
        <w:spacing w:lineRule="auto" w:line="276" w:before="60" w:after="60"/>
        <w:ind w:left="1560" w:hanging="42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sociální terapeutické činnosti;</w:t>
      </w:r>
    </w:p>
    <w:p>
      <w:pPr>
        <w:pStyle w:val="Normal"/>
        <w:widowControl w:val="false"/>
        <w:numPr>
          <w:ilvl w:val="2"/>
          <w:numId w:val="3"/>
        </w:numPr>
        <w:pBdr/>
        <w:spacing w:lineRule="auto" w:line="276" w:before="60" w:after="60"/>
        <w:ind w:left="1560" w:hanging="42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výchovné, vzdělávací a aktivizační činnosti;</w:t>
      </w:r>
    </w:p>
    <w:p>
      <w:pPr>
        <w:pStyle w:val="Normal"/>
        <w:widowControl w:val="false"/>
        <w:numPr>
          <w:ilvl w:val="2"/>
          <w:numId w:val="3"/>
        </w:numPr>
        <w:pBdr/>
        <w:spacing w:lineRule="auto" w:line="276" w:before="60" w:after="60"/>
        <w:ind w:left="1560" w:hanging="425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pomoc při uplatňování práv, oprávněných zájmů a při obstarávání osobních záležitostí.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Uvedené úkony jsou Klientovi poskytovány dle jeho aktuálních potřeb a zdravotního stavu v souladu s individuálním plánem péče. 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Klient je povinen při poskytování úkonů péče spolupracovat se zaměstnanci v rámci svých možností a schopností. </w:t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UJEDNÁNÍ O DODRŽOVÁNÍ VNITŘNÍCH PRAVIDEL ZAŘÍZENÍ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bookmarkStart w:id="3" w:name="_30j0zll"/>
      <w:bookmarkEnd w:id="3"/>
      <w:r>
        <w:rPr>
          <w:rFonts w:eastAsia="Arial" w:cs="Arial" w:ascii="Arial" w:hAnsi="Arial"/>
          <w:color w:val="000000"/>
          <w:sz w:val="20"/>
          <w:szCs w:val="20"/>
        </w:rPr>
        <w:t>Klient prohlašuje, že byl před uzavřením této Smlouvy seznámen s Domácím řádem, Domácí řád si přečetl, porozuměl mu a zavazuje se jím řídit. Domácím řádem jsou povinny se řídit obě strany. Aktuální znění Domácího řádu je vyvěšeno na Klientovi přístupné nástěnce umístěné v Zařízení.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Poskytovatel bude informovat klienta o každé změně, zrušení či novém vydání vnitřních předpisů (dokumentů), pokud by taková změna mohla mít vliv na podmínky poskytování sociálních služeb dle této Smlouvy. Klient se zavazuje seznámit se s novými vnitřními předpisy a dodržovat i změněné či nově vydané vnitřní předpisy.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je povinen každou změnu týkající se jeho osobních údajů (např. změnu příjmení, stavu, trvalého pobytu apod.) bezodkladně oznámit sociální pracovnici.</w:t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bookmarkStart w:id="4" w:name="_1fob9te"/>
      <w:bookmarkEnd w:id="4"/>
      <w:r>
        <w:rPr>
          <w:rFonts w:eastAsia="Arial" w:cs="Arial" w:ascii="Arial" w:hAnsi="Arial"/>
          <w:sz w:val="20"/>
          <w:szCs w:val="20"/>
        </w:rPr>
        <w:t>MÍSTO A ČAS POSKYTOVÁNÍ SOCIÁLNÍ SLUŽBY</w:t>
      </w:r>
    </w:p>
    <w:p>
      <w:pPr>
        <w:pStyle w:val="Normal"/>
        <w:widowControl w:val="false"/>
        <w:numPr>
          <w:ilvl w:val="1"/>
          <w:numId w:val="10"/>
        </w:numPr>
        <w:tabs>
          <w:tab w:val="clear" w:pos="720"/>
          <w:tab w:val="left" w:pos="708" w:leader="none"/>
        </w:tabs>
        <w:spacing w:lineRule="auto" w:line="276" w:before="60" w:after="60"/>
        <w:ind w:left="709" w:hanging="709"/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Sociální služby podle této Smlouvy jsou poskytovány na adrese </w:t>
      </w:r>
      <w:r>
        <w:rPr>
          <w:rFonts w:cs="Arial" w:ascii="Arial" w:hAnsi="Arial"/>
          <w:sz w:val="20"/>
          <w:szCs w:val="20"/>
        </w:rPr>
        <w:t>B. Egermanna 354, 473 01 Nový Bor.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Sociální služby podle této Smlouvy se poskytují 24 (dvacet čtyři) hodin denně, a to každý den po dobu účinnosti této Smlouvy.</w:t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VÝŠE ÚHRADY A ZPŮSOB JEJÍHO PLACENÍ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12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Výše úhrady</w:t>
      </w:r>
    </w:p>
    <w:p>
      <w:pPr>
        <w:pStyle w:val="Clanek11"/>
        <w:numPr>
          <w:ilvl w:val="2"/>
          <w:numId w:val="2"/>
        </w:numPr>
        <w:spacing w:lineRule="auto" w:line="276" w:before="60" w:after="60"/>
        <w:rPr/>
      </w:pPr>
      <w:bookmarkStart w:id="5" w:name="_Hlk122423888"/>
      <w:bookmarkStart w:id="6" w:name="_Ref71119227"/>
      <w:bookmarkStart w:id="7" w:name="_tyjcwt"/>
      <w:bookmarkStart w:id="8" w:name="_2et92p0"/>
      <w:bookmarkStart w:id="9" w:name="_3znysh7"/>
      <w:bookmarkEnd w:id="7"/>
      <w:bookmarkEnd w:id="8"/>
      <w:bookmarkEnd w:id="9"/>
      <w:r>
        <w:rPr>
          <w:rStyle w:val="Markedcontent"/>
          <w:rFonts w:ascii="Arial" w:hAnsi="Arial" w:eastAsiaTheme="minorEastAsia"/>
          <w:sz w:val="20"/>
          <w:szCs w:val="20"/>
          <w:shd w:fill="auto" w:val="clear"/>
        </w:rPr>
        <w:t>Klient se zavazuje zaplatit Poskytovateli úhradu za ubytování a stravu v částce dle</w:t>
      </w:r>
      <w:r>
        <w:rPr>
          <w:rFonts w:eastAsiaTheme="minorEastAsia"/>
          <w:sz w:val="14"/>
          <w:szCs w:val="18"/>
          <w:shd w:fill="auto" w:val="clear"/>
        </w:rPr>
        <w:t xml:space="preserve"> </w:t>
      </w:r>
      <w:r>
        <w:rPr>
          <w:rStyle w:val="Markedcontent"/>
          <w:rFonts w:ascii="Arial" w:hAnsi="Arial" w:eastAsiaTheme="minorEastAsia"/>
          <w:sz w:val="20"/>
          <w:szCs w:val="20"/>
          <w:shd w:fill="auto" w:val="clear"/>
        </w:rPr>
        <w:t>přílohy č. 2 Přehled úhrad v aktuálním znění, která je nedílnou součástí této Smlouvy.</w:t>
      </w:r>
      <w:r>
        <w:rPr>
          <w:rFonts w:ascii="Arial" w:hAnsi="Arial" w:eastAsiaTheme="minorEastAsia"/>
          <w:sz w:val="12"/>
          <w:szCs w:val="12"/>
          <w:shd w:fill="auto" w:val="clear"/>
        </w:rPr>
        <w:t xml:space="preserve"> </w:t>
      </w:r>
      <w:bookmarkEnd w:id="6"/>
      <w:r>
        <w:rPr>
          <w:rFonts w:ascii="Arial" w:hAnsi="Arial" w:eastAsiaTheme="minorEastAsia"/>
          <w:sz w:val="20"/>
          <w:szCs w:val="20"/>
          <w:shd w:fill="auto" w:val="clear"/>
        </w:rPr>
        <w:t>Aktuální znění Přehledu úhrad je vyvěšeno na Klientovi přístupné nástěnce umístěné v Zařízení.</w:t>
      </w:r>
      <w:bookmarkEnd w:id="5"/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Poskytovatel je oprávněn provést jednostranné navýšení úhrady za ubytování a stravu v případě zvýšení stanovených úhrad v prováděcí vyhlášce č. 505/2006 Sb., v platném znění. Změna nabývá účinnosti kalendářní měsíc následující po písemném oznámení změny Klientovi. Nesouhlasí-li Klient se zvýšením úhrady za ubytování a stravu, je oprávněn nejpozději do 14 kalendářních dní ode dne oznámení změny Smlouvu vypovědět, a tím ukončit využívání poskytované služby ke dni nabytí účinnosti změny. </w:t>
      </w:r>
    </w:p>
    <w:p>
      <w:pPr>
        <w:pStyle w:val="Clanek11"/>
        <w:numPr>
          <w:ilvl w:val="2"/>
          <w:numId w:val="2"/>
        </w:numPr>
        <w:spacing w:lineRule="auto" w:line="276" w:before="60" w:after="60"/>
        <w:rPr>
          <w:rFonts w:ascii="Arial" w:hAnsi="Arial"/>
          <w:sz w:val="20"/>
          <w:szCs w:val="20"/>
        </w:rPr>
      </w:pPr>
      <w:bookmarkStart w:id="10" w:name="_Hlk119933594"/>
      <w:r>
        <w:rPr>
          <w:rFonts w:eastAsiaTheme="minorEastAsia" w:ascii="Arial" w:hAnsi="Arial"/>
          <w:sz w:val="20"/>
          <w:szCs w:val="20"/>
          <w:shd w:fill="auto" w:val="clear"/>
        </w:rPr>
        <w:t xml:space="preserve">Za dobu řádně nahlášené nepřítomnosti, v souladu s Domácím řádem, obdrží Klient vratku za suroviny po odhlášení celodenní stravy v částce </w:t>
      </w:r>
      <w:bookmarkStart w:id="11" w:name="_Hlk122444811"/>
      <w:r>
        <w:rPr>
          <w:rFonts w:eastAsiaTheme="minorEastAsia" w:ascii="Arial" w:hAnsi="Arial"/>
          <w:sz w:val="20"/>
          <w:szCs w:val="20"/>
          <w:shd w:fill="auto" w:val="clear"/>
        </w:rPr>
        <w:t xml:space="preserve">uvedené v Přehledu úhrad. </w:t>
      </w:r>
      <w:bookmarkEnd w:id="10"/>
      <w:bookmarkEnd w:id="11"/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strike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Za poskytování úkonů péče Poskytovateli současně náleží úhrada za poskytování péče za každou započatou hodinu péče dle reálně spotřebovaného času po minutách ve výši </w:t>
      </w:r>
      <w:r>
        <w:rPr>
          <w:rFonts w:ascii="Arial" w:hAnsi="Arial"/>
          <w:sz w:val="20"/>
          <w:szCs w:val="20"/>
          <w:shd w:fill="auto" w:val="clear"/>
        </w:rPr>
        <w:t xml:space="preserve">uvedené v Přehledu úhrad. 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12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Způsob placení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Poskytovatel provede vyúčtování vždy za předchozí kalendářní měsíc, a to nejpozději do 10. (desátého) pracovního dne po uplynutí kalendářního měsíce, za který je vyúčtování prováděno.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se zavazuje zaplatit Poskytovateli za služby podle této Smlouvy vždy do 10 (deseti) kalendářních dnů ode dne, kdy obdrží vyúčtování za tyto služby.</w:t>
      </w:r>
    </w:p>
    <w:p>
      <w:pPr>
        <w:pStyle w:val="Normal"/>
        <w:widowControl w:val="false"/>
        <w:numPr>
          <w:ilvl w:val="2"/>
          <w:numId w:val="2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zaplatí úhradu za služby bezhotovostním převodem na bankovní účet Poskytovatele nebo v hotovosti na pokladně Poskytovatele, dle svého výběru. Bezhotovostní úhradu provede Klient na bankovní účet Poskytovatele uvedený v záhlaví této Smlouvy, jako variabilní symbol uvede číslo smlouvy.</w:t>
      </w:r>
    </w:p>
    <w:p>
      <w:pPr>
        <w:pStyle w:val="Normal"/>
        <w:widowControl w:val="false"/>
        <w:pBdr/>
        <w:spacing w:lineRule="auto" w:line="276" w:before="60" w:after="60"/>
        <w:ind w:left="1276" w:hanging="567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adpis1"/>
        <w:keepNext w:val="false"/>
        <w:widowControl w:val="false"/>
        <w:numPr>
          <w:ilvl w:val="0"/>
          <w:numId w:val="2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DALŠÍ UJEDNÁNÍ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prohlašuje, že rozsah a průběh služby s ním byl projednáván s ohledem na jeho osobní cíl, v závislosti na jeho možnostech a přáních s ohledem na jeho zdravotní stav</w:t>
      </w:r>
      <w:r>
        <w:rPr>
          <w:color w:val="000000"/>
        </w:rPr>
        <w:t>.</w:t>
      </w:r>
    </w:p>
    <w:p>
      <w:pPr>
        <w:pStyle w:val="Normal"/>
        <w:widowControl w:val="false"/>
        <w:numPr>
          <w:ilvl w:val="1"/>
          <w:numId w:val="2"/>
        </w:numPr>
        <w:pBdr/>
        <w:spacing w:lineRule="auto" w:line="276" w:before="60" w:after="60"/>
        <w:ind w:left="709" w:hanging="709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Pro případ, že má Klient u Poskytovatele zřízen depozitní účet, Klient souhlasí s tím, že v případě ukončení této Smlouvy, s výjimkou úmrtí Klienta, bude zůstatek na depozitním účtu prioritně využit k úhradě dosud neuhrazených pohledávek Poskytovatele za Klientem.</w:t>
      </w:r>
    </w:p>
    <w:p>
      <w:pPr>
        <w:pStyle w:val="Nadpis1"/>
        <w:keepNext w:val="false"/>
        <w:widowControl w:val="false"/>
        <w:numPr>
          <w:ilvl w:val="0"/>
          <w:numId w:val="5"/>
        </w:numPr>
        <w:spacing w:lineRule="auto" w:line="276" w:before="240" w:after="12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DOBA TRVÁNÍ SMLOUVY</w:t>
      </w:r>
    </w:p>
    <w:p>
      <w:pPr>
        <w:pStyle w:val="ListParagraph"/>
        <w:widowControl w:val="false"/>
        <w:numPr>
          <w:ilvl w:val="1"/>
          <w:numId w:val="5"/>
        </w:numPr>
        <w:pBdr/>
        <w:spacing w:lineRule="auto" w:line="360" w:before="60" w:after="60"/>
        <w:contextualSpacing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Smlouva nabývá platnosti a účinnosti dnem jejího podpisu oběma Smluvními stranami.</w:t>
      </w:r>
    </w:p>
    <w:p>
      <w:pPr>
        <w:pStyle w:val="ListParagraph"/>
        <w:widowControl w:val="false"/>
        <w:numPr>
          <w:ilvl w:val="1"/>
          <w:numId w:val="5"/>
        </w:numPr>
        <w:pBdr/>
        <w:spacing w:lineRule="auto" w:line="276" w:before="60" w:after="60"/>
        <w:contextualSpacing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Smlouva se uzavírá na dobu </w:t>
      </w:r>
      <w:r>
        <w:rPr>
          <w:rFonts w:eastAsia="Arial" w:cs="Arial" w:ascii="Arial" w:hAnsi="Arial"/>
          <w:color w:val="000000"/>
          <w:sz w:val="20"/>
          <w:szCs w:val="20"/>
          <w:highlight w:val="yellow"/>
        </w:rPr>
        <w:t>určitou v délce trvání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  <w:highlight w:val="yellow"/>
        </w:rPr>
        <w:t>[...]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. </w:t>
      </w:r>
    </w:p>
    <w:p>
      <w:pPr>
        <w:pStyle w:val="Nadpis1"/>
        <w:keepNext w:val="false"/>
        <w:widowControl w:val="false"/>
        <w:numPr>
          <w:ilvl w:val="0"/>
          <w:numId w:val="5"/>
        </w:numPr>
        <w:spacing w:lineRule="auto" w:line="276" w:before="240" w:after="120"/>
        <w:ind w:left="709" w:hanging="709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UKONČENÍ SMLOUVY</w:t>
      </w:r>
    </w:p>
    <w:p>
      <w:pPr>
        <w:pStyle w:val="Normal"/>
        <w:widowControl w:val="false"/>
        <w:numPr>
          <w:ilvl w:val="1"/>
          <w:numId w:val="5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Smlouva může být ukončena písemnou dohodou mezi Klientem a Poskytovatelem ke dni uvedenému v dohodě.</w:t>
      </w:r>
    </w:p>
    <w:p>
      <w:pPr>
        <w:pStyle w:val="Normal"/>
        <w:widowControl w:val="false"/>
        <w:numPr>
          <w:ilvl w:val="1"/>
          <w:numId w:val="5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Smlouva je ukončena dnem ukončení pobytu Klienta (úmrtí).</w:t>
      </w:r>
    </w:p>
    <w:p>
      <w:pPr>
        <w:pStyle w:val="Normal"/>
        <w:widowControl w:val="false"/>
        <w:numPr>
          <w:ilvl w:val="1"/>
          <w:numId w:val="5"/>
        </w:numPr>
        <w:pBdr/>
        <w:spacing w:lineRule="auto" w:line="276" w:before="6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Ze strany Klienta: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Klient může tuto Smlouvu vypovědět písemně a bez udání důvodu. Výpovědní doba činí 14 kalendářních dní ode dne následujícího po dni, ve kterém byla písemná výpověď doručena Poskytovateli. 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Klient je oprávněn vypovědět tuto Smlouvu nejpozději do 14 dní ode dne doručení oznámení o zvýšení úhrady za ubytování a stravu ve smyslu odst. 6.1.2. této Smlouvy s tím, že k ukončení Smlouvy dojde ke dni účinnosti změny úhrady.</w:t>
      </w:r>
    </w:p>
    <w:p>
      <w:pPr>
        <w:pStyle w:val="Normal"/>
        <w:widowControl w:val="false"/>
        <w:numPr>
          <w:ilvl w:val="1"/>
          <w:numId w:val="5"/>
        </w:numPr>
        <w:pBdr/>
        <w:spacing w:lineRule="auto" w:line="276" w:before="60" w:after="60"/>
        <w:ind w:left="709" w:hanging="709"/>
        <w:rPr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Ze strany Poskytovatele:</w:t>
      </w:r>
    </w:p>
    <w:p>
      <w:pPr>
        <w:pStyle w:val="Normal"/>
        <w:widowControl w:val="false"/>
        <w:pBdr/>
        <w:spacing w:lineRule="auto" w:line="276" w:before="60" w:after="60"/>
        <w:ind w:left="709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Poskytovatel může tuto Smlouvu vypovědět písemnou formou doručenou Klientovi, a to z důvodů: </w:t>
      </w:r>
    </w:p>
    <w:p>
      <w:pPr>
        <w:pStyle w:val="Normal"/>
        <w:widowControl w:val="false"/>
        <w:pBdr/>
        <w:spacing w:lineRule="auto" w:line="276" w:before="60" w:after="60"/>
        <w:ind w:left="709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9.4.1. odsouzení Klienta za spáchání úmyslného trestného činu;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/>
      </w:pPr>
      <w:r>
        <w:rPr>
          <w:rFonts w:eastAsia="Arial" w:cs="Arial" w:ascii="Arial" w:hAnsi="Arial"/>
          <w:color w:val="000000"/>
          <w:sz w:val="20"/>
          <w:szCs w:val="20"/>
        </w:rPr>
        <w:t>Jestliže Klient hrubě poruší svou povinnost vyplývající z této Smlouvy či pravidel soužití nebo Domácího řádu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. </w:t>
      </w:r>
      <w:r>
        <w:rPr>
          <w:rFonts w:eastAsia="Arial" w:cs="Arial" w:ascii="Arial" w:hAnsi="Arial"/>
          <w:color w:val="000000"/>
          <w:sz w:val="20"/>
          <w:szCs w:val="20"/>
        </w:rPr>
        <w:t>Za hrubé porušení povinnosti vyplývající z této Smlouvy se považuje zejména: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uvede-li nepravdivé informace podstatné pro poskytování služeb a této Smlouvy (např. informace o zdravotní nebo sociální situaci);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prodlení s úhradou za ubytování a stravování delší jak 30 dnů po stanoveném termínu splatnosti;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úmyslné poškození majetku Poskytovatele;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krádež majetku jiného klienta, zaměstnance Zařízení nebo Poskytovatele;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fyzické napadení nebo sexuální obtěžování jiného klienta či zaměstnance Zařízení;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vyhrožování jinému klientovi či zaměstnanci Zařízení;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1777" w:right="85" w:hanging="360"/>
        <w:contextualSpacing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omezování práv jiného klienta či zaměstnance Zařízení;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/>
      </w:pPr>
      <w:r>
        <w:rPr>
          <w:rFonts w:eastAsia="Arial" w:cs="Arial" w:ascii="Arial" w:hAnsi="Arial"/>
          <w:color w:val="000000"/>
          <w:sz w:val="20"/>
          <w:szCs w:val="20"/>
        </w:rPr>
        <w:t>Klient i po opakovaném (třetím) písemném upozornění porušuje povinnosti, které mu vyplývají z Domácího řádu a/nebo této Smlouvy</w:t>
      </w:r>
      <w:r>
        <w:rPr>
          <w:rFonts w:eastAsia="Arial" w:cs="Arial" w:ascii="Arial" w:hAnsi="Arial"/>
          <w:i/>
          <w:color w:val="000000"/>
          <w:sz w:val="20"/>
          <w:szCs w:val="20"/>
        </w:rPr>
        <w:t>;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u Klienta došlo ke změnám potřeb, které není Zařízení schopno zajistit, tzn. Klient vyžaduje péči ve zdravotnickém zařízení;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jestliže osobní poměry, případně stav Klienta přestaly být ve shodě s okruhem osob tak, jak je vymezen v rozhodnutí o registraci Poskytovatele.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/>
      </w:pPr>
      <w:r>
        <w:rPr>
          <w:rFonts w:eastAsia="Arial" w:cs="Arial" w:ascii="Arial" w:hAnsi="Arial"/>
          <w:color w:val="000000"/>
          <w:sz w:val="20"/>
          <w:szCs w:val="20"/>
        </w:rPr>
        <w:t>V případě výpovědi ze strany Poskytovatele s uvedením výpovědního důvodu sjednaného touto Smlouvou činí výpovědní doba 14 kalendářních dní a počne běžet den následující po dni, ve kterém byla písemná výpověď doručena Klientovi.</w:t>
      </w: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widowControl w:val="false"/>
        <w:numPr>
          <w:ilvl w:val="2"/>
          <w:numId w:val="5"/>
        </w:numPr>
        <w:pBdr/>
        <w:spacing w:lineRule="auto" w:line="276" w:before="60" w:after="60"/>
        <w:ind w:left="1276" w:hanging="556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Pokud byla smlouva ukončena výpovědí z důvodu porušování povinností vyplývajících ze Smlouvy, nebude opětovně v téže službě uzavřena dříve než za 6 měsíců od ukončení pobytu. Tato doba může být zkrácena pouze na základě rozhodnutí ředitele.</w:t>
      </w:r>
    </w:p>
    <w:p>
      <w:pPr>
        <w:pStyle w:val="Normal"/>
        <w:widowControl w:val="false"/>
        <w:numPr>
          <w:ilvl w:val="1"/>
          <w:numId w:val="5"/>
        </w:numPr>
        <w:pBdr/>
        <w:spacing w:lineRule="auto" w:line="276" w:before="60" w:after="60"/>
        <w:ind w:left="709" w:hanging="709"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V případě ukončení platnosti této Smlouvy je Klient povinen nejpozději k poslednímu dni platnosti Smlouvy vystěhovat z pokoje veškeré osobní věci a další věci, které jsou jeho vlastnictvím nebo které si sám opatřil. Jestliže tak Klient neučiní, je Poskytovatel oprávněn předat věci do úschovy třetí osobě na náklady Klienta.</w:t>
      </w:r>
    </w:p>
    <w:p>
      <w:pPr>
        <w:pStyle w:val="Nadpis1"/>
        <w:keepNext w:val="false"/>
        <w:widowControl w:val="false"/>
        <w:numPr>
          <w:ilvl w:val="0"/>
          <w:numId w:val="4"/>
        </w:numPr>
        <w:spacing w:lineRule="auto" w:line="276" w:before="240" w:after="120"/>
        <w:rPr>
          <w:rFonts w:ascii="Arial" w:hAnsi="Arial" w:eastAsia="Arial" w:cs="Arial"/>
        </w:rPr>
      </w:pPr>
      <w:r>
        <w:rPr>
          <w:rFonts w:eastAsia="Arial" w:cs="Arial" w:ascii="Arial" w:hAnsi="Arial"/>
          <w:sz w:val="20"/>
          <w:szCs w:val="20"/>
        </w:rPr>
        <w:t>ZÁVĚREČNÁ USTANOVENÍ</w:t>
      </w:r>
    </w:p>
    <w:p>
      <w:pPr>
        <w:pStyle w:val="ListParagraph"/>
        <w:widowControl w:val="false"/>
        <w:numPr>
          <w:ilvl w:val="1"/>
          <w:numId w:val="6"/>
        </w:numPr>
        <w:pBdr/>
        <w:spacing w:lineRule="auto" w:line="276" w:before="60" w:after="60"/>
        <w:contextualSpacing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Jestliže jakýkoliv závazek vyplývající z této Smlouvy nebo jakékoliv ustanovení této Smlouvy (včetně jakéhokoli jejího odstavce, článku, věty nebo slova) je nebo se stane neplatným a/nebo zdánlivým, pak taková neplatnost a/nebo zdánlivost neovlivní ostatní ustanovení této Smlouvy.</w:t>
      </w:r>
    </w:p>
    <w:p>
      <w:pPr>
        <w:pStyle w:val="Normal"/>
        <w:widowControl w:val="false"/>
        <w:numPr>
          <w:ilvl w:val="1"/>
          <w:numId w:val="6"/>
        </w:numPr>
        <w:pBdr/>
        <w:spacing w:lineRule="auto" w:line="276" w:before="60" w:after="60"/>
        <w:ind w:left="709" w:hanging="709"/>
        <w:rPr>
          <w:rFonts w:ascii="Arial" w:hAnsi="Arial" w:eastAsia="Arial" w:cs="Arial"/>
          <w:color w:val="000000"/>
        </w:rPr>
      </w:pPr>
      <w:bookmarkStart w:id="12" w:name="_3dy6vkm"/>
      <w:bookmarkEnd w:id="12"/>
      <w:r>
        <w:rPr>
          <w:rFonts w:eastAsia="Arial" w:cs="Arial" w:ascii="Arial" w:hAnsi="Arial"/>
          <w:color w:val="000000"/>
          <w:sz w:val="20"/>
          <w:szCs w:val="20"/>
        </w:rPr>
        <w:t>Tato Smlouva je vyhotovena ve 2 pare, případně 3, pokud je Klient zastoupen, přičemž každá ze Smluvních stran obdrží po jednom pare.</w:t>
      </w:r>
    </w:p>
    <w:p>
      <w:pPr>
        <w:pStyle w:val="Normal"/>
        <w:widowControl w:val="false"/>
        <w:numPr>
          <w:ilvl w:val="1"/>
          <w:numId w:val="6"/>
        </w:numPr>
        <w:pBdr/>
        <w:spacing w:lineRule="auto" w:line="276" w:before="60" w:after="60"/>
        <w:ind w:left="709" w:hanging="709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Smluvní strany výslovně sjednávají, že tuto Smlouvu lze měnit či rušit pouze písemně, a to v případě změn formou písemného, číslovaného dodatku. Není-li v této Smlouvě určeno jinak, k ujednáním učiněním v jiné formě (byť jen k vedlejším ujednáním) se nepřihlíží.</w:t>
      </w:r>
    </w:p>
    <w:p>
      <w:pPr>
        <w:pStyle w:val="Normal"/>
        <w:widowControl w:val="false"/>
        <w:numPr>
          <w:ilvl w:val="1"/>
          <w:numId w:val="6"/>
        </w:numPr>
        <w:pBdr/>
        <w:spacing w:lineRule="auto" w:line="276" w:before="60" w:after="60"/>
        <w:ind w:left="709" w:hanging="709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Tato Smlouva nahrazuje veškeré předchozí smlouvy uzavřené mezi smluvními stranami, jejiž předmětem je poskytnutí sociální služby v Zařízení.</w:t>
      </w:r>
    </w:p>
    <w:p>
      <w:pPr>
        <w:pStyle w:val="Normal"/>
        <w:widowControl w:val="false"/>
        <w:pBdr/>
        <w:tabs>
          <w:tab w:val="clear" w:pos="720"/>
          <w:tab w:val="left" w:pos="709" w:leader="none"/>
        </w:tabs>
        <w:spacing w:lineRule="auto" w:line="276" w:before="60" w:after="60"/>
        <w:ind w:left="567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Přílohy:</w:t>
        <w:tab/>
        <w:t>Příloha č. 1 – Domácí řád</w:t>
      </w:r>
    </w:p>
    <w:p>
      <w:pPr>
        <w:pStyle w:val="Normal"/>
        <w:widowControl w:val="false"/>
        <w:pBdr/>
        <w:tabs>
          <w:tab w:val="clear" w:pos="720"/>
          <w:tab w:val="left" w:pos="709" w:leader="none"/>
        </w:tabs>
        <w:spacing w:lineRule="auto" w:line="276" w:before="60" w:after="60"/>
        <w:ind w:left="567" w:hanging="567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            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Příloha č. 2 – Přehled úhrad </w:t>
      </w:r>
    </w:p>
    <w:p>
      <w:pPr>
        <w:pStyle w:val="Nadpis1"/>
        <w:spacing w:lineRule="auto" w:line="276"/>
        <w:ind w:left="0" w:hanging="0"/>
        <w:rPr>
          <w:rFonts w:ascii="Arial" w:hAnsi="Arial" w:eastAsia="Arial" w:cs="Arial"/>
          <w:caps w:val="false"/>
          <w:smallCaps w:val="false"/>
          <w:sz w:val="20"/>
          <w:szCs w:val="20"/>
        </w:rPr>
      </w:pPr>
      <w:r>
        <w:rPr>
          <w:rFonts w:eastAsia="Arial" w:cs="Arial" w:ascii="Arial" w:hAnsi="Arial"/>
          <w:caps w:val="false"/>
          <w:smallCaps w:val="false"/>
          <w:sz w:val="20"/>
          <w:szCs w:val="20"/>
        </w:rPr>
        <w:t>Smluvní strany po přečtení této Smlouvy prohlašují, že souhlasí s jejím obsahem, že Smlouva byla sepsána určitě, srozumitelně, na základě jejich pravé, svobodné a vážné vůle, bez nátlaku na některou ze Smluvních stran, na důkaz toho připojují své podpisy.</w:t>
      </w:r>
      <w:r>
        <w:rPr>
          <w:rFonts w:eastAsia="Arial"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pBdr/>
        <w:tabs>
          <w:tab w:val="clear" w:pos="720"/>
          <w:tab w:val="left" w:pos="1985" w:leader="none"/>
          <w:tab w:val="left" w:pos="5103" w:leader="none"/>
          <w:tab w:val="left" w:pos="7088" w:leader="none"/>
        </w:tabs>
        <w:spacing w:lineRule="auto" w:line="276" w:before="360" w:after="120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V </w:t>
        <w:tab/>
        <w:t>dne ______________</w:t>
        <w:tab/>
        <w:t>V </w:t>
        <w:tab/>
        <w:t>dne ______________</w:t>
      </w:r>
    </w:p>
    <w:p>
      <w:pPr>
        <w:pStyle w:val="Normal"/>
        <w:widowControl w:val="false"/>
        <w:tabs>
          <w:tab w:val="clear" w:pos="720"/>
          <w:tab w:val="left" w:pos="5670" w:leader="none"/>
        </w:tabs>
        <w:spacing w:lineRule="auto" w:line="276" w:before="0" w:after="0"/>
        <w:ind w:left="567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</w:t>
        <w:tab/>
        <w:t>___________________________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40" w:after="6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ab/>
        <w:t>ředitel</w:t>
        <w:tab/>
        <w:t>Klient</w:t>
      </w:r>
    </w:p>
    <w:p>
      <w:pPr>
        <w:pStyle w:val="Normal"/>
        <w:widowControl w:val="false"/>
        <w:tabs>
          <w:tab w:val="clear" w:pos="720"/>
          <w:tab w:val="center" w:pos="2127" w:leader="none"/>
          <w:tab w:val="left" w:pos="7230" w:leader="none"/>
        </w:tabs>
        <w:spacing w:lineRule="auto" w:line="276" w:before="0" w:after="0"/>
        <w:jc w:val="left"/>
        <w:rPr>
          <w:rFonts w:ascii="Arial" w:hAnsi="Arial" w:eastAsia="Arial" w:cs="Arial"/>
          <w:sz w:val="20"/>
          <w:szCs w:val="20"/>
          <w:highlight w:val="yellow"/>
        </w:rPr>
      </w:pPr>
      <w:r>
        <w:rPr>
          <w:rFonts w:eastAsia="Arial" w:cs="Arial" w:ascii="Arial" w:hAnsi="Arial"/>
          <w:sz w:val="20"/>
          <w:szCs w:val="20"/>
        </w:rPr>
        <w:tab/>
        <w:t xml:space="preserve">              Ing. Bc. Jan Sembdner                                                                  </w:t>
      </w:r>
      <w:r>
        <w:rPr>
          <w:rFonts w:eastAsia="Arial" w:cs="Arial" w:ascii="Arial" w:hAnsi="Arial"/>
          <w:sz w:val="20"/>
          <w:szCs w:val="20"/>
          <w:highlight w:val="yellow"/>
        </w:rPr>
        <w:t>[jméno a příjmení]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</w:t>
      </w:r>
      <w:r>
        <w:rPr>
          <w:rFonts w:eastAsia="Arial" w:cs="Arial" w:ascii="Arial" w:hAnsi="Arial"/>
          <w:sz w:val="20"/>
          <w:szCs w:val="20"/>
        </w:rPr>
        <w:t>na základě plné moci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ab/>
      </w:r>
      <w:r>
        <w:rPr>
          <w:rFonts w:eastAsia="Arial"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</w:r>
    </w:p>
    <w:p>
      <w:pPr>
        <w:pStyle w:val="Normal"/>
        <w:spacing w:lineRule="auto" w:line="276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720" w:bottom="144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Noto Sans Symbols">
    <w:charset w:val="0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703" w:leader="none"/>
        <w:tab w:val="right" w:pos="9406" w:leader="none"/>
      </w:tabs>
      <w:spacing w:before="120" w:after="1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sz w:val="20"/>
        <w:szCs w:val="20"/>
        <w:color w:val="000000"/>
      </w:rPr>
      <w:instrText xml:space="preserve"> PAGE </w:instrText>
    </w:r>
    <w:r>
      <w:rPr>
        <w:sz w:val="20"/>
        <w:szCs w:val="20"/>
        <w:color w:val="000000"/>
      </w:rPr>
      <w:fldChar w:fldCharType="separate"/>
    </w:r>
    <w:r>
      <w:rPr>
        <w:sz w:val="20"/>
        <w:szCs w:val="20"/>
        <w:color w:val="000000"/>
      </w:rPr>
      <w:t>0</w:t>
    </w:r>
    <w:r>
      <w:rPr>
        <w:sz w:val="20"/>
        <w:szCs w:val="20"/>
        <w:color w:val="000000"/>
      </w:rPr>
      <w:fldChar w:fldCharType="end"/>
    </w:r>
  </w:p>
  <w:p>
    <w:pPr>
      <w:pStyle w:val="Normal"/>
      <w:pBdr/>
      <w:tabs>
        <w:tab w:val="clear" w:pos="720"/>
        <w:tab w:val="center" w:pos="4703" w:leader="none"/>
        <w:tab w:val="right" w:pos="9406" w:leader="none"/>
      </w:tabs>
      <w:spacing w:before="12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703" w:leader="none"/>
        <w:tab w:val="right" w:pos="9406" w:leader="none"/>
      </w:tabs>
      <w:spacing w:before="120" w:after="120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w:fldChar w:fldCharType="begin"/>
    </w:r>
    <w:r>
      <w:rPr>
        <w:sz w:val="20"/>
        <w:szCs w:val="20"/>
        <w:rFonts w:eastAsia="Arial" w:cs="Arial" w:ascii="Arial" w:hAnsi="Arial"/>
        <w:color w:val="000000"/>
      </w:rPr>
      <w:instrText xml:space="preserve"> PAGE </w:instrText>
    </w:r>
    <w:r>
      <w:rPr>
        <w:sz w:val="20"/>
        <w:szCs w:val="20"/>
        <w:rFonts w:eastAsia="Arial" w:cs="Arial" w:ascii="Arial" w:hAnsi="Arial"/>
        <w:color w:val="000000"/>
      </w:rPr>
      <w:fldChar w:fldCharType="separate"/>
    </w:r>
    <w:r>
      <w:rPr>
        <w:sz w:val="20"/>
        <w:szCs w:val="20"/>
        <w:rFonts w:eastAsia="Arial" w:cs="Arial" w:ascii="Arial" w:hAnsi="Arial"/>
        <w:color w:val="000000"/>
      </w:rPr>
      <w:t>5</w:t>
    </w:r>
    <w:r>
      <w:rPr>
        <w:sz w:val="20"/>
        <w:szCs w:val="20"/>
        <w:rFonts w:eastAsia="Arial" w:cs="Arial" w:ascii="Arial" w:hAnsi="Arial"/>
        <w:color w:val="000000"/>
      </w:rPr>
      <w:fldChar w:fldCharType="end"/>
    </w:r>
  </w:p>
  <w:p>
    <w:pPr>
      <w:pStyle w:val="Normal"/>
      <w:tabs>
        <w:tab w:val="clear" w:pos="720"/>
        <w:tab w:val="center" w:pos="4703" w:leader="none"/>
        <w:tab w:val="right" w:pos="9406" w:leader="none"/>
      </w:tabs>
      <w:spacing w:before="120" w:after="120"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eastAsia="Arial" w:cs="Arial" w:ascii="Arial" w:hAnsi="Arial"/>
        <w:color w:val="000000"/>
        <w:sz w:val="20"/>
        <w:szCs w:val="20"/>
      </w:rPr>
      <mc:AlternateContent>
        <mc:Choice Requires="wps">
          <w:drawing>
            <wp:anchor behindDoc="1" distT="45085" distB="55245" distL="113665" distR="114300" simplePos="0" locked="0" layoutInCell="0" allowOverlap="1" relativeHeight="28" wp14:anchorId="440204B4">
              <wp:simplePos x="0" y="0"/>
              <wp:positionH relativeFrom="column">
                <wp:posOffset>5943600</wp:posOffset>
              </wp:positionH>
              <wp:positionV relativeFrom="paragraph">
                <wp:posOffset>299720</wp:posOffset>
              </wp:positionV>
              <wp:extent cx="930275" cy="314325"/>
              <wp:effectExtent l="0" t="0" r="0" b="9525"/>
              <wp:wrapSquare wrapText="bothSides"/>
              <wp:docPr id="3" name="Obdélník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31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délník 6" path="m0,0l-2147483645,0l-2147483645,-2147483646l0,-2147483646xe" stroked="f" o:allowincell="f" style="position:absolute;margin-left:468pt;margin-top:23.6pt;width:73.2pt;height:24.7pt;mso-wrap-style:none;v-text-anchor:middle" wp14:anchorId="440204B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0" distR="0" simplePos="0" locked="0" layoutInCell="0" allowOverlap="1" relativeHeight="33">
          <wp:simplePos x="0" y="0"/>
          <wp:positionH relativeFrom="page">
            <wp:posOffset>6350</wp:posOffset>
          </wp:positionH>
          <wp:positionV relativeFrom="page">
            <wp:posOffset>10234295</wp:posOffset>
          </wp:positionV>
          <wp:extent cx="5888355" cy="466725"/>
          <wp:effectExtent l="0" t="0" r="0" b="0"/>
          <wp:wrapNone/>
          <wp:docPr id="5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3665" distR="114300" simplePos="0" locked="0" layoutInCell="0" allowOverlap="1" relativeHeight="8" wp14:anchorId="5C767EBC">
              <wp:simplePos x="0" y="0"/>
              <wp:positionH relativeFrom="column">
                <wp:posOffset>5943600</wp:posOffset>
              </wp:positionH>
              <wp:positionV relativeFrom="paragraph">
                <wp:posOffset>299720</wp:posOffset>
              </wp:positionV>
              <wp:extent cx="930275" cy="314325"/>
              <wp:effectExtent l="0" t="0" r="0" b="0"/>
              <wp:wrapSquare wrapText="bothSides"/>
              <wp:docPr id="6" name="Obdélník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31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délník 2" path="m0,0l-2147483645,0l-2147483645,-2147483646l0,-2147483646xe" stroked="f" o:allowincell="f" style="position:absolute;margin-left:468pt;margin-top:23.6pt;width:73.2pt;height:24.7pt;mso-wrap-style:none;v-text-anchor:middle" wp14:anchorId="5C767EB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-717550</wp:posOffset>
          </wp:positionH>
          <wp:positionV relativeFrom="paragraph">
            <wp:posOffset>243840</wp:posOffset>
          </wp:positionV>
          <wp:extent cx="5888355" cy="46672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20"/>
        <w:szCs w:val="20"/>
      </w:rPr>
      <w:t>verze 1/2023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703" w:leader="none"/>
        <w:tab w:val="right" w:pos="9406" w:leader="none"/>
      </w:tabs>
      <w:spacing w:before="12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45085" distB="45720" distL="113665" distR="114300" simplePos="0" locked="0" layoutInCell="0" allowOverlap="1" relativeHeight="10" wp14:anchorId="317A4DB5">
              <wp:simplePos x="0" y="0"/>
              <wp:positionH relativeFrom="column">
                <wp:posOffset>5943600</wp:posOffset>
              </wp:positionH>
              <wp:positionV relativeFrom="paragraph">
                <wp:posOffset>299720</wp:posOffset>
              </wp:positionV>
              <wp:extent cx="930275" cy="314325"/>
              <wp:effectExtent l="0" t="0" r="0" b="0"/>
              <wp:wrapSquare wrapText="bothSides"/>
              <wp:docPr id="9" name="Obdélní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31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délník 1" path="m0,0l-2147483645,0l-2147483645,-2147483646l0,-2147483646xe" stroked="f" o:allowincell="f" style="position:absolute;margin-left:468pt;margin-top:23.6pt;width:73.2pt;height:24.7pt;mso-wrap-style:none;v-text-anchor:middle" wp14:anchorId="317A4DB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pBdr/>
      <w:tabs>
        <w:tab w:val="clear" w:pos="720"/>
        <w:tab w:val="center" w:pos="4703" w:leader="none"/>
        <w:tab w:val="right" w:pos="9406" w:leader="none"/>
      </w:tabs>
      <w:spacing w:before="12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-692150</wp:posOffset>
          </wp:positionH>
          <wp:positionV relativeFrom="paragraph">
            <wp:posOffset>222250</wp:posOffset>
          </wp:positionV>
          <wp:extent cx="5888355" cy="466725"/>
          <wp:effectExtent l="0" t="0" r="0" b="0"/>
          <wp:wrapNone/>
          <wp:docPr id="11" name="Obrázek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tabs>
        <w:tab w:val="clear" w:pos="4536"/>
        <w:tab w:val="clear" w:pos="9072"/>
      </w:tabs>
      <w:spacing w:lineRule="auto" w:line="360" w:before="120" w:after="120"/>
      <w:rPr>
        <w:color w:val="404040"/>
        <w:sz w:val="20"/>
        <w:szCs w:val="20"/>
      </w:rPr>
    </w:pPr>
    <w:r>
      <w:rPr>
        <w:color w:val="404040"/>
        <w:sz w:val="20"/>
        <w:szCs w:val="20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4813300</wp:posOffset>
          </wp:positionH>
          <wp:positionV relativeFrom="paragraph">
            <wp:posOffset>-311150</wp:posOffset>
          </wp:positionV>
          <wp:extent cx="1375410" cy="709295"/>
          <wp:effectExtent l="0" t="0" r="0" b="0"/>
          <wp:wrapNone/>
          <wp:docPr id="1" name="Obrázek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141" t="9855" r="10483" b="13083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left"/>
      <w:rPr>
        <w:sz w:val="24"/>
        <w:szCs w:val="24"/>
      </w:rPr>
    </w:pPr>
    <w:r>
      <w:rPr>
        <w:sz w:val="24"/>
        <w:szCs w:val="24"/>
      </w:rPr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4724400</wp:posOffset>
          </wp:positionH>
          <wp:positionV relativeFrom="paragraph">
            <wp:posOffset>-317500</wp:posOffset>
          </wp:positionV>
          <wp:extent cx="1375410" cy="709295"/>
          <wp:effectExtent l="0" t="0" r="0" b="0"/>
          <wp:wrapNone/>
          <wp:docPr id="2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141" t="9855" r="10483" b="13083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(%1)"/>
      <w:lvlJc w:val="left"/>
      <w:pPr>
        <w:tabs>
          <w:tab w:val="num" w:pos="0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eastAsia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dstrike w:val="false"/>
        <w:strike w:val="false"/>
        <w:sz w:val="20"/>
        <w:b w:val="false"/>
        <w:szCs w:val="20"/>
        <w:rFonts w:ascii="Arial" w:hAnsi="Arial" w:eastAsia="Arial" w:cs="Arial"/>
        <w:color w:val="00000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1728" w:hanging="647"/>
      </w:pPr>
      <w:rPr>
        <w:rFonts w:ascii="Noto Sans Symbols" w:hAnsi="Noto Sans Symbols" w:cs="Noto Sans Symbols" w:hint="default"/>
      </w:rPr>
    </w:lvl>
    <w:lvl w:ilvl="4">
      <w:start w:val="1"/>
      <w:numFmt w:val="decimal"/>
      <w:lvlText w:val="%1.%2.%3.▪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▪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▪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▪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▪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sz w:val="20"/>
        <w:b w:val="false"/>
        <w:szCs w:val="20"/>
        <w:color w:val="00000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1728" w:hanging="647"/>
      </w:pPr>
      <w:rPr>
        <w:rFonts w:ascii="Noto Sans Symbols" w:hAnsi="Noto Sans Symbols" w:cs="Noto Sans Symbols" w:hint="default"/>
      </w:rPr>
    </w:lvl>
    <w:lvl w:ilvl="4">
      <w:start w:val="1"/>
      <w:numFmt w:val="decimal"/>
      <w:lvlText w:val="%1.%2.▪.▪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▪.▪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▪.▪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▪.▪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▪.▪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600" w:hanging="600"/>
      </w:pPr>
      <w:rPr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0"/>
        <w:szCs w:val="2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  <w:szCs w:val="20"/>
      </w:rPr>
    </w:lvl>
  </w:abstractNum>
  <w:abstractNum w:abstractNumId="5"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0"/>
        <w:rFonts w:ascii="Arial" w:hAnsi="Arial" w:eastAsia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  <w:rFonts w:ascii="Arial" w:hAnsi="Arial" w:eastAsia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  <w:rFonts w:ascii="Arial" w:hAnsi="Arial" w:eastAsia="Arial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  <w:rFonts w:ascii="Arial" w:hAnsi="Arial" w:eastAsia="Arial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  <w:rFonts w:ascii="Arial" w:hAnsi="Arial" w:eastAsia="Arial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  <w:rFonts w:ascii="Arial" w:hAnsi="Arial" w:eastAsia="Arial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  <w:rFonts w:ascii="Arial" w:hAnsi="Arial" w:eastAsia="Arial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  <w:rFonts w:ascii="Arial" w:hAnsi="Arial" w:eastAsia="Arial" w:cs="Arial"/>
      </w:rPr>
    </w:lvl>
  </w:abstractNum>
  <w:abstractNum w:abstractNumId="6">
    <w:lvl w:ilvl="0">
      <w:start w:val="10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b w:val="false"/>
        <w:szCs w:val="20"/>
        <w:bCs/>
        <w:rFonts w:ascii="Arial" w:hAnsi="Arial" w:cs="Arial"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7"/>
    <w:lvlOverride w:ilvl="0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next w:val="Normal"/>
    <w:uiPriority w:val="9"/>
    <w:qFormat/>
    <w:pPr>
      <w:keepNext w:val="true"/>
      <w:spacing w:before="240" w:after="0"/>
      <w:ind w:left="567" w:hanging="567"/>
      <w:outlineLvl w:val="0"/>
    </w:pPr>
    <w:rPr>
      <w:b/>
      <w:smallCaps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ind w:left="709" w:hanging="709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spacing w:before="240" w:after="60"/>
      <w:ind w:left="851" w:hanging="142"/>
      <w:outlineLvl w:val="2"/>
    </w:pPr>
    <w:rPr>
      <w:rFonts w:ascii="Arial" w:hAnsi="Arial" w:eastAsia="Arial" w:cs="Arial"/>
      <w:b/>
      <w:sz w:val="26"/>
      <w:szCs w:val="26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ZkladntextChar" w:customStyle="1">
    <w:name w:val="Základní text Char"/>
    <w:basedOn w:val="DefaultParagraphFont"/>
    <w:uiPriority w:val="99"/>
    <w:qFormat/>
    <w:rsid w:val="009e4baa"/>
    <w:rPr>
      <w:rFonts w:ascii="Arial" w:hAnsi="Arial" w:eastAsia="Arial" w:cs="Arial"/>
      <w:color w:val="00000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9e4baa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uiPriority w:val="99"/>
    <w:qFormat/>
    <w:rsid w:val="009e4baa"/>
    <w:rPr/>
  </w:style>
  <w:style w:type="character" w:styleId="ZkladntextodsazenChar" w:customStyle="1">
    <w:name w:val="Základní text odsazený Char"/>
    <w:basedOn w:val="DefaultParagraphFont"/>
    <w:uiPriority w:val="99"/>
    <w:qFormat/>
    <w:rsid w:val="00cc72fc"/>
    <w:rPr>
      <w:rFonts w:ascii="Arial" w:hAnsi="Arial" w:eastAsia="Arial" w:cs="Arial"/>
      <w:color w:val="000000"/>
      <w:sz w:val="20"/>
      <w:szCs w:val="20"/>
    </w:rPr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162090"/>
    <w:rPr>
      <w:rFonts w:ascii="Arial" w:hAnsi="Arial" w:eastAsia="Arial" w:cs="Arial"/>
      <w:color w:val="000000"/>
      <w:sz w:val="20"/>
      <w:szCs w:val="20"/>
    </w:rPr>
  </w:style>
  <w:style w:type="character" w:styleId="Clanek11Char" w:customStyle="1">
    <w:name w:val="Clanek 1.1 Char"/>
    <w:basedOn w:val="DefaultParagraphFont"/>
    <w:link w:val="Clanek11"/>
    <w:qFormat/>
    <w:rsid w:val="00710146"/>
    <w:rPr>
      <w:rFonts w:eastAsia="" w:cs="Arial" w:eastAsiaTheme="minorEastAsia"/>
      <w:bCs/>
      <w:iCs/>
      <w:szCs w:val="28"/>
      <w:lang w:eastAsia="en-US"/>
    </w:rPr>
  </w:style>
  <w:style w:type="character" w:styleId="Markedcontent" w:customStyle="1">
    <w:name w:val="markedcontent"/>
    <w:basedOn w:val="DefaultParagraphFont"/>
    <w:qFormat/>
    <w:rsid w:val="00414d8d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9e4baa"/>
    <w:pPr>
      <w:widowControl w:val="false"/>
      <w:pBdr/>
      <w:spacing w:before="0" w:after="0"/>
      <w:jc w:val="left"/>
    </w:pPr>
    <w:rPr>
      <w:rFonts w:ascii="Arial" w:hAnsi="Arial" w:eastAsia="Arial" w:cs="Arial"/>
      <w:color w:val="000000"/>
    </w:rPr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zev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hAnsi="Arial" w:eastAsia="Arial" w:cs="Arial"/>
      <w:b/>
      <w:sz w:val="32"/>
      <w:szCs w:val="32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pPr/>
    <w:rPr>
      <w:sz w:val="20"/>
      <w:szCs w:val="20"/>
    </w:rPr>
  </w:style>
  <w:style w:type="paragraph" w:styleId="Revision">
    <w:name w:val="Revision"/>
    <w:uiPriority w:val="99"/>
    <w:semiHidden/>
    <w:qFormat/>
    <w:rsid w:val="00a356c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9e4baa"/>
    <w:pPr/>
    <w:rPr>
      <w:b/>
      <w:bCs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9e4baa"/>
    <w:pPr>
      <w:tabs>
        <w:tab w:val="clear" w:pos="720"/>
        <w:tab w:val="center" w:pos="4536" w:leader="none"/>
        <w:tab w:val="right" w:pos="9072" w:leader="none"/>
      </w:tabs>
      <w:spacing w:before="0" w:after="0"/>
    </w:pPr>
    <w:rPr/>
  </w:style>
  <w:style w:type="paragraph" w:styleId="Odsazentlatextu">
    <w:name w:val="Body Text Indent"/>
    <w:basedOn w:val="Normal"/>
    <w:link w:val="ZkladntextodsazenChar"/>
    <w:uiPriority w:val="99"/>
    <w:unhideWhenUsed/>
    <w:rsid w:val="00cc72fc"/>
    <w:pPr>
      <w:widowControl w:val="false"/>
      <w:pBdr/>
      <w:spacing w:lineRule="auto" w:line="276" w:before="60" w:after="60"/>
      <w:ind w:left="709" w:hanging="0"/>
    </w:pPr>
    <w:rPr>
      <w:rFonts w:ascii="Arial" w:hAnsi="Arial" w:eastAsia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5785"/>
    <w:pPr>
      <w:spacing w:before="120" w:after="12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162090"/>
    <w:pPr>
      <w:widowControl w:val="false"/>
      <w:pBdr/>
      <w:spacing w:lineRule="auto" w:line="276" w:before="60" w:after="60"/>
    </w:pPr>
    <w:rPr>
      <w:rFonts w:ascii="Arial" w:hAnsi="Arial" w:eastAsia="Arial" w:cs="Arial"/>
      <w:color w:val="000000"/>
      <w:sz w:val="20"/>
      <w:szCs w:val="20"/>
    </w:rPr>
  </w:style>
  <w:style w:type="paragraph" w:styleId="Clanek11" w:customStyle="1">
    <w:name w:val="Clanek 1.1"/>
    <w:basedOn w:val="Nadpis2"/>
    <w:link w:val="Clanek11Char"/>
    <w:qFormat/>
    <w:rsid w:val="00710146"/>
    <w:pPr>
      <w:keepNext w:val="false"/>
      <w:widowControl w:val="false"/>
      <w:tabs>
        <w:tab w:val="clear" w:pos="720"/>
        <w:tab w:val="left" w:pos="567" w:leader="none"/>
      </w:tabs>
      <w:spacing w:before="120" w:after="120"/>
      <w:ind w:left="567" w:hanging="567"/>
    </w:pPr>
    <w:rPr>
      <w:rFonts w:ascii="Times New Roman" w:hAnsi="Times New Roman" w:eastAsia="" w:eastAsiaTheme="minorEastAsia"/>
      <w:b w:val="false"/>
      <w:bCs/>
      <w:i w:val="false"/>
      <w:iCs/>
      <w:sz w:val="22"/>
      <w:lang w:eastAsia="en-US"/>
    </w:rPr>
  </w:style>
  <w:style w:type="paragraph" w:styleId="Claneka" w:customStyle="1">
    <w:name w:val="Clanek (a)"/>
    <w:basedOn w:val="Normal"/>
    <w:qFormat/>
    <w:rsid w:val="00710146"/>
    <w:pPr>
      <w:keepLines/>
      <w:widowControl w:val="false"/>
      <w:tabs>
        <w:tab w:val="clear" w:pos="720"/>
        <w:tab w:val="left" w:pos="992" w:leader="none"/>
      </w:tabs>
      <w:ind w:left="992" w:hanging="425"/>
    </w:pPr>
    <w:rPr>
      <w:rFonts w:eastAsia="" w:eastAsiaTheme="minorEastAsia"/>
      <w:szCs w:val="24"/>
      <w:lang w:eastAsia="en-US"/>
    </w:rPr>
  </w:style>
  <w:style w:type="paragraph" w:styleId="Claneki" w:customStyle="1">
    <w:name w:val="Clanek (i)"/>
    <w:basedOn w:val="Normal"/>
    <w:qFormat/>
    <w:rsid w:val="00710146"/>
    <w:pPr>
      <w:keepNext w:val="true"/>
      <w:tabs>
        <w:tab w:val="clear" w:pos="720"/>
        <w:tab w:val="left" w:pos="1418" w:leader="none"/>
      </w:tabs>
      <w:ind w:left="1418" w:hanging="426"/>
    </w:pPr>
    <w:rPr>
      <w:rFonts w:eastAsia="" w:eastAsiaTheme="minorEastAsia"/>
      <w:color w:val="000000"/>
      <w:szCs w:val="24"/>
      <w:lang w:eastAsia="en-US"/>
    </w:rPr>
  </w:style>
  <w:style w:type="paragraph" w:styleId="Zpat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LibreOffice/7.4.4.2$Linux_X86_64 LibreOffice_project/40$Build-2</Application>
  <AppVersion>15.0000</AppVersion>
  <Pages>5</Pages>
  <Words>1780</Words>
  <Characters>10413</Characters>
  <CharactersWithSpaces>12344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2022-03-30T06:24:00Z</dcterms:created>
  <dc:creator>Bokůvková</dc:creator>
  <dc:description/>
  <dc:language>cs-CZ</dc:language>
  <cp:lastModifiedBy/>
  <dcterms:modified xsi:type="dcterms:W3CDTF">2023-02-09T13:28:59Z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