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INFORMACE O ZPRACOVÁNÍ OSOBNÍCH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Ů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dle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čl. 13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ÍZENÍ EVROPSKÉHO PARLAMENTU A RADY (EU)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2016/679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ze dne 27. dubna 2016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 ochran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 fyzick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ých osob v souvislosti se zpracováním osobních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ů a o voln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ém pohybu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ěchto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ů a o zrušen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 sm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ěrnice 95/46/ES (obecn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é 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ízení o ochran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 osobn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ů)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še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 údaje jsou zpracovávány ve zdravotnické dokumentaci v plném souladu s platnými právními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ředpisy zejm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éna v souladu se zákonem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č. 372/2011 Sb., o zdravotn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ích 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žb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ách a podmínkách jejich poskytování (zákon o zdravotních 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žb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ách) a jeho provád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ěc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ími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ředpisy. Jejich zabezpečen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 a ochrana je zaji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štěna v souladu s těmito předpisy i v souladu s Obecn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ým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ízením pro ochranu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ů 2016/679.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možnosti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ístupu k 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šim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ům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ámi vedených, máte právo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žadovat jejich opravu či omezen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zpracování pokud zjistíte,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jsou tyto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údaje nesprávné. Dále právo na to aby 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údaje byly bez zbyte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odklad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vymaz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ány a právo získat osobní údaje, které se Vás týkají v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čiteln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formátu a právo tyto údaje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ředat jin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ému správci.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když se domn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íváte,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zpracov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áním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doch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ází k poru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Obecného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 na ochranu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Vašich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áv, máte právo podat stí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žnost 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řadu pro ochranu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v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obvyklého bydli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ště, v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ýkonu zam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nebo míst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kde došlo 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údajnému poru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Poskytování Va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šich osobn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ích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 je 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ákonným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žadavkem a 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áte jako pacient povinnost je poskytnout, stejn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 jako zdravotnick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 pracovník má právo jej po Vás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žadovat. Neposkytnut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Va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šich osobn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ích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 bude znamenat, že spr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ávce Vám nebude moci poskytnout adekvátní zdravotní slu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žby, a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ím 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ůže doj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ít k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škozen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Va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šeho zdrav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či př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ímému ohro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života.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 Vala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Mezi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21.5. 2018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